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DA30" w14:textId="64A819F7" w:rsidR="00105434" w:rsidRDefault="00105434" w:rsidP="00105434">
      <w:pPr>
        <w:pStyle w:val="OZNPROJEKTUwskazaniedatylubwersjiprojektu"/>
      </w:pPr>
      <w:r w:rsidRPr="00754237">
        <w:t xml:space="preserve">Projekt z dnia </w:t>
      </w:r>
      <w:r w:rsidR="00E14A1C">
        <w:t>3 stycznia 2022</w:t>
      </w:r>
      <w:r w:rsidRPr="00754237">
        <w:t xml:space="preserve"> r.</w:t>
      </w:r>
    </w:p>
    <w:p w14:paraId="08104D2A" w14:textId="77777777" w:rsidR="00105434" w:rsidRPr="00754237" w:rsidRDefault="00105434" w:rsidP="00105434"/>
    <w:p w14:paraId="746D031F" w14:textId="77777777" w:rsidR="00105434" w:rsidRPr="00754237" w:rsidRDefault="00105434" w:rsidP="002708A6">
      <w:pPr>
        <w:pStyle w:val="OZNRODZAKTUtznustawalubrozporzdzenieiorganwydajcy"/>
      </w:pPr>
      <w:r w:rsidRPr="00754237">
        <w:t>Rozporządzenie</w:t>
      </w:r>
    </w:p>
    <w:p w14:paraId="151DA550" w14:textId="39F1A878" w:rsidR="00105434" w:rsidRPr="00754237" w:rsidRDefault="00105434" w:rsidP="002708A6">
      <w:pPr>
        <w:pStyle w:val="OZNRODZAKTUtznustawalubrozporzdzenieiorganwydajcy"/>
      </w:pPr>
      <w:r w:rsidRPr="00754237">
        <w:t>Ministra</w:t>
      </w:r>
      <w:r>
        <w:t xml:space="preserve"> </w:t>
      </w:r>
      <w:r w:rsidR="00A34C54">
        <w:t>K</w:t>
      </w:r>
      <w:r>
        <w:t xml:space="preserve">limatu i </w:t>
      </w:r>
      <w:r w:rsidR="00A34C54">
        <w:t>Środowiska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14:paraId="2D5BBB04" w14:textId="77777777" w:rsidR="00105434" w:rsidRPr="00754237" w:rsidRDefault="00105434" w:rsidP="002708A6">
      <w:pPr>
        <w:pStyle w:val="DATAAKTUdatauchwalenialubwydaniaaktu"/>
      </w:pPr>
      <w:r w:rsidRPr="00754237">
        <w:t>z dnia …………………</w:t>
      </w:r>
    </w:p>
    <w:p w14:paraId="332250D6" w14:textId="77777777" w:rsidR="00105434" w:rsidRDefault="00105434" w:rsidP="002708A6">
      <w:pPr>
        <w:pStyle w:val="TYTUAKTUprzedmiotregulacjiustawylubrozporzdzenia"/>
      </w:pPr>
      <w:r>
        <w:t>zmieniające rozporządzenie w sprawie szczegółowego zakresu i sposobu sporządzania audytu efektywności energetycznej oraz metod obliczania oszczędności energii</w:t>
      </w:r>
    </w:p>
    <w:p w14:paraId="4683E70D" w14:textId="77777777" w:rsidR="00105434" w:rsidRDefault="00105434" w:rsidP="00105434">
      <w:pPr>
        <w:pStyle w:val="NIEARTTEKSTtekstnieartykuowanynppodstprawnarozplubpreambua"/>
      </w:pPr>
      <w:r w:rsidRPr="001C35A4">
        <w:t>Na podstawie ar</w:t>
      </w:r>
      <w:r w:rsidRPr="00754237">
        <w:t xml:space="preserve">t. </w:t>
      </w:r>
      <w:r>
        <w:t xml:space="preserve">29 </w:t>
      </w:r>
      <w:bookmarkStart w:id="0" w:name="_Hlk56501280"/>
      <w:r w:rsidRPr="00754237">
        <w:t xml:space="preserve">ustawy z dnia </w:t>
      </w:r>
      <w:r>
        <w:t xml:space="preserve">20 maja 2016 r. o efektywności energetycznej </w:t>
      </w:r>
      <w:bookmarkEnd w:id="0"/>
      <w:r>
        <w:t>(</w:t>
      </w:r>
      <w:r w:rsidRPr="00344C04">
        <w:t xml:space="preserve">Dz. U. z </w:t>
      </w:r>
      <w:r>
        <w:t xml:space="preserve">2021 r. poz. 468 i 868) </w:t>
      </w:r>
      <w:r w:rsidRPr="00754237">
        <w:t>zarządza się, co następuje:</w:t>
      </w:r>
    </w:p>
    <w:p w14:paraId="4D43B83C" w14:textId="424421A7" w:rsidR="00105434" w:rsidRDefault="00105434" w:rsidP="002708A6">
      <w:pPr>
        <w:pStyle w:val="ARTartustawynprozporzdzenia"/>
      </w:pPr>
      <w:r w:rsidRPr="002708A6">
        <w:rPr>
          <w:rStyle w:val="Ppogrubienie"/>
        </w:rPr>
        <w:t>§ 1.</w:t>
      </w:r>
      <w:r w:rsidRPr="00754237">
        <w:t> </w:t>
      </w:r>
      <w:r>
        <w:t>W rozporządzeniu Ministra Energii z dnia 5 października 2017 r. w sprawie szczegółowego zakresu i sposobu sporządzania audytu efektywności energetycznej oraz metod obliczania oszczędności energii (Dz. U. poz. 1912) wprowadza się następujące zmiany:</w:t>
      </w:r>
    </w:p>
    <w:p w14:paraId="39FFBFD2" w14:textId="77777777" w:rsidR="00105434" w:rsidRDefault="00105434" w:rsidP="00105434">
      <w:pPr>
        <w:pStyle w:val="PKTpunkt"/>
      </w:pPr>
      <w:r>
        <w:t>1)</w:t>
      </w:r>
      <w:r>
        <w:tab/>
        <w:t xml:space="preserve">w </w:t>
      </w:r>
      <w:r w:rsidRPr="00E60979">
        <w:t>§ 5 ust. 2</w:t>
      </w:r>
      <w:r>
        <w:t>:</w:t>
      </w:r>
    </w:p>
    <w:p w14:paraId="236EB5F4" w14:textId="22BBA5E8" w:rsidR="00105434" w:rsidRDefault="00105434" w:rsidP="00105434">
      <w:pPr>
        <w:pStyle w:val="LITlitera"/>
      </w:pPr>
      <w:r>
        <w:t>a)</w:t>
      </w:r>
      <w:r>
        <w:tab/>
        <w:t>w pkt 9 wyrazy</w:t>
      </w:r>
      <w:r w:rsidR="002708A6">
        <w:t xml:space="preserve"> </w:t>
      </w:r>
      <w:r w:rsidR="002708A6" w:rsidRPr="002708A6">
        <w:t>„</w:t>
      </w:r>
      <w:r w:rsidR="0079365B" w:rsidRPr="0079365B">
        <w:t>energii elektrycznej</w:t>
      </w:r>
      <w:r w:rsidR="0079365B">
        <w:t xml:space="preserve"> </w:t>
      </w:r>
      <w:r>
        <w:t>lub gazu ziemnego</w:t>
      </w:r>
      <w:r w:rsidR="00CA680A" w:rsidRPr="00CA680A">
        <w:t>”</w:t>
      </w:r>
      <w:r>
        <w:t xml:space="preserve"> zastępuje się wyrazami </w:t>
      </w:r>
      <w:r w:rsidR="00CA680A" w:rsidRPr="00CA680A">
        <w:t>„</w:t>
      </w:r>
      <w:r w:rsidR="0079365B" w:rsidRPr="0079365B">
        <w:t>energii elektrycznej</w:t>
      </w:r>
      <w:r>
        <w:t>, gazu ziemnego lub paliw ciekłych</w:t>
      </w:r>
      <w:r w:rsidR="00CA680A" w:rsidRPr="00CA680A">
        <w:t>”</w:t>
      </w:r>
      <w:r>
        <w:t>,</w:t>
      </w:r>
    </w:p>
    <w:p w14:paraId="6947233C" w14:textId="77777777" w:rsidR="00105434" w:rsidRDefault="00105434" w:rsidP="00105434">
      <w:pPr>
        <w:pStyle w:val="LITlitera"/>
      </w:pPr>
      <w:r>
        <w:t>b)</w:t>
      </w:r>
      <w:r>
        <w:tab/>
        <w:t>w pkt 10 kropkę zastępuje się średnikiem i dodaje się pkt 11–14 w brzmieniu:</w:t>
      </w:r>
    </w:p>
    <w:p w14:paraId="691FAD94" w14:textId="77777777" w:rsidR="00105434" w:rsidRPr="00105434" w:rsidRDefault="00105434" w:rsidP="00AB0109">
      <w:pPr>
        <w:pStyle w:val="ZPKTzmpktartykuempunktem"/>
      </w:pPr>
      <w:r w:rsidRPr="008E2CD5">
        <w:t>„</w:t>
      </w:r>
      <w:r>
        <w:t>11)</w:t>
      </w:r>
      <w:r>
        <w:tab/>
      </w:r>
      <w:r w:rsidRPr="00105434">
        <w:t>dla przedsięwzięcia służącego poprawie efektywności energetycznej polegającego na wymianie pojazdów służących do transportu drogowego na nowe pojazdy, w przypadku gdy są one objęte zakresem rozporządzenia Parlamentu Europejskiego i Rady (UE) 2019/631 z dnia 17 kwietnia 2019 r. określającego normy emisji CO2 dla nowych samochodów osobowych i dla nowych lekkich pojazdów użytkowych oraz uchylające rozporządzenia (WE) nr 443/2009 i (UE) nr 510/2011 (Dz. Urz. UE L 111 z 25.04.2019, str. 13) lub rozporządzenia Parlamentu Europejskiego i Rady (UE) 2019/1242 z dnia 20 czerwca 2019 r. określającego normy emisji CO2 dla nowych pojazdów ciężkich oraz zmieniającego rozporządzenia Parlamentu Europejskiego i Rady (WE) nr 595/2009 i (UE) 2018/956 oraz dyrektywę Rady 96/53/WE (Dz. Urz. UE. L 198 z 25.07.2019, str. 202):</w:t>
      </w:r>
    </w:p>
    <w:p w14:paraId="7F52FF79" w14:textId="77777777" w:rsidR="00105434" w:rsidRDefault="00105434" w:rsidP="00AB0109">
      <w:pPr>
        <w:pStyle w:val="ZLITwPKTzmlitwpktartykuempunktem"/>
      </w:pPr>
      <w:r>
        <w:lastRenderedPageBreak/>
        <w:t>a)</w:t>
      </w:r>
      <w:r>
        <w:tab/>
      </w:r>
      <w:r w:rsidRPr="0026588C">
        <w:t xml:space="preserve">wykonuje się obliczenia przyjmując, że zużycie energii pojazdu po wymianie </w:t>
      </w:r>
      <w:r>
        <w:t>jest niższe od</w:t>
      </w:r>
      <w:r w:rsidRPr="0026588C">
        <w:t xml:space="preserve"> poziomu odpowiadającego spełnieniu wymogów minimalnych określonych w tych rozporządzeniach</w:t>
      </w:r>
      <w:r>
        <w:t>,</w:t>
      </w:r>
    </w:p>
    <w:p w14:paraId="2E1FB6B3" w14:textId="77777777" w:rsidR="00105434" w:rsidRDefault="00105434" w:rsidP="00AB0109">
      <w:pPr>
        <w:pStyle w:val="ZLITwPKTzmlitwpktartykuempunktem"/>
      </w:pPr>
      <w:r>
        <w:t>b)</w:t>
      </w:r>
      <w:r>
        <w:tab/>
      </w:r>
      <w:r w:rsidRPr="0026588C">
        <w:t>kwalifikuj</w:t>
      </w:r>
      <w:r>
        <w:t xml:space="preserve">e </w:t>
      </w:r>
      <w:r w:rsidRPr="0026588C">
        <w:t xml:space="preserve">się </w:t>
      </w:r>
      <w:r>
        <w:t xml:space="preserve">średnioroczne </w:t>
      </w:r>
      <w:r w:rsidRPr="0026588C">
        <w:t>oszczędności wynikające z wcześniejszej wymiany dokonanej przed upływem c</w:t>
      </w:r>
      <w:r>
        <w:t xml:space="preserve">yklu życia pojazdu </w:t>
      </w:r>
      <w:r w:rsidRPr="006735A8">
        <w:t>(</w:t>
      </w:r>
      <w:r w:rsidRPr="00E07427">
        <w:t>wyrażonego w</w:t>
      </w:r>
      <w:r>
        <w:t xml:space="preserve"> przebiegu lub</w:t>
      </w:r>
      <w:r w:rsidRPr="00E07427">
        <w:t xml:space="preserve"> latach)</w:t>
      </w:r>
      <w:r>
        <w:t>;</w:t>
      </w:r>
    </w:p>
    <w:p w14:paraId="11B0C0AE" w14:textId="77777777" w:rsidR="00105434" w:rsidRPr="00105434" w:rsidRDefault="00105434" w:rsidP="00AB0109">
      <w:pPr>
        <w:pStyle w:val="ZPKTzmpktartykuempunktem"/>
      </w:pPr>
      <w:r>
        <w:t>12)</w:t>
      </w:r>
      <w:r>
        <w:tab/>
      </w:r>
      <w:r w:rsidRPr="00105434">
        <w:t>dla przedsięwzięcia służącego poprawie efektywności energetycznej polegającego na wymianie pojazdów służących do transportu drogowego innych niż wymienione w pkt 11 lub pojazdów służących do transportu kolejowego wykonuje się obliczenia dla okresu:</w:t>
      </w:r>
    </w:p>
    <w:p w14:paraId="243F68C4" w14:textId="75DC43A7" w:rsidR="00105434" w:rsidRDefault="00105434" w:rsidP="00AB0109">
      <w:pPr>
        <w:pStyle w:val="ZLITwPKTzmlitwpktartykuempunktem"/>
      </w:pPr>
      <w:r w:rsidRPr="00105434">
        <w:t>a)</w:t>
      </w:r>
      <w:r w:rsidRPr="00105434">
        <w:tab/>
        <w:t xml:space="preserve">wynikającego z wcześniejszej wymiany w stosunku do przewidywanego zakończenia cyklu życia wymienianego pojazdu, wykorzystując do obliczeń zmierzone lub oszacowane dane dotyczące zużycia energii przez pojazd wymieniany i </w:t>
      </w:r>
      <w:r w:rsidR="004968CA">
        <w:t>pojazd nabyty</w:t>
      </w:r>
      <w:r w:rsidR="004968CA" w:rsidRPr="00105434">
        <w:t xml:space="preserve"> </w:t>
      </w:r>
      <w:r w:rsidRPr="00105434">
        <w:t>oraz</w:t>
      </w:r>
    </w:p>
    <w:p w14:paraId="5BA37A0C" w14:textId="4194C265" w:rsidR="00105434" w:rsidRPr="00105434" w:rsidRDefault="00105434" w:rsidP="00AB0109">
      <w:pPr>
        <w:pStyle w:val="ZLITwPKTzmlitwpktartykuempunktem"/>
      </w:pPr>
      <w:r w:rsidRPr="00105434">
        <w:t>b)</w:t>
      </w:r>
      <w:r w:rsidRPr="00105434">
        <w:tab/>
        <w:t xml:space="preserve">pozostałego do zakończenia cyklu życia pojazdu </w:t>
      </w:r>
      <w:r w:rsidR="004968CA">
        <w:t>nabytego</w:t>
      </w:r>
      <w:r w:rsidRPr="00105434">
        <w:t xml:space="preserve">, wykorzystując do obliczeń uśrednione jednostkowe zużycie energii przez standardowy pojazd należący do tej samej, pod względem wielkości i napędu, klasy pojazdów oraz zmierzone lub oszacowane dane dotyczące zużycia energii przez pojazd </w:t>
      </w:r>
      <w:r w:rsidR="004968CA">
        <w:t>nabyty</w:t>
      </w:r>
      <w:r w:rsidRPr="00105434">
        <w:t>;</w:t>
      </w:r>
    </w:p>
    <w:p w14:paraId="298E065D" w14:textId="77777777" w:rsidR="00105434" w:rsidRDefault="00105434" w:rsidP="00AB0109">
      <w:pPr>
        <w:pStyle w:val="ZPKTzmpktartykuempunktem"/>
      </w:pPr>
      <w:r>
        <w:t>13)</w:t>
      </w:r>
      <w:r>
        <w:tab/>
      </w:r>
      <w:r w:rsidRPr="00DD2692">
        <w:t>dla przedsięwzięcia służącego poprawie efektywności energetycznej polegającej na modernizacji pojazdów służących do transportu drogowego lub kolejowego</w:t>
      </w:r>
      <w:r>
        <w:t>,</w:t>
      </w:r>
      <w:r w:rsidRPr="00DD2692">
        <w:t xml:space="preserve"> w przypadku gdy dokonywane jest ono przed upływem cyklu życia pojazdu lub gdy w wyniku jego realizacji cykl życia ulegnie wydłużeniu:</w:t>
      </w:r>
    </w:p>
    <w:p w14:paraId="4896D5C2" w14:textId="77777777" w:rsidR="00105434" w:rsidRDefault="00105434" w:rsidP="00AB0109">
      <w:pPr>
        <w:pStyle w:val="ZLITwPKTzmlitwpktartykuempunktem"/>
      </w:pPr>
      <w:r>
        <w:t>a)</w:t>
      </w:r>
      <w:r>
        <w:tab/>
      </w:r>
      <w:r w:rsidRPr="00DD2692">
        <w:t>wykonuje się ocenę potencjału w zakresie poprawy efektywności energetycznej, wskazując możliwe do zastosowania rozwiązania technologiczne</w:t>
      </w:r>
      <w:r>
        <w:t>,</w:t>
      </w:r>
    </w:p>
    <w:p w14:paraId="5D934140" w14:textId="569D07FF" w:rsidR="00105434" w:rsidRPr="0026588C" w:rsidRDefault="00105434" w:rsidP="00AB0109">
      <w:pPr>
        <w:pStyle w:val="ZLITwPKTzmlitwpktartykuempunktem"/>
      </w:pPr>
      <w:r>
        <w:t>b)</w:t>
      </w:r>
      <w:r>
        <w:tab/>
      </w:r>
      <w:r w:rsidRPr="00DD2692">
        <w:t xml:space="preserve">bierze się pod uwagę, w szczególności, następujące usprawnienia umożliwiające uzyskanie </w:t>
      </w:r>
      <w:r>
        <w:t xml:space="preserve">średniorocznych </w:t>
      </w:r>
      <w:r w:rsidRPr="00DD2692">
        <w:t xml:space="preserve">oszczędności energii: wymianę opon na opony o niższym oporze toczenia, montaż systemu kontroli ciśnienia w oponach (TPMS), montaż </w:t>
      </w:r>
      <w:r>
        <w:t xml:space="preserve">systemu umożliwiającego </w:t>
      </w:r>
      <w:r w:rsidRPr="00817CBF">
        <w:t>monitorowanie oraz analizę efektywności stylu jazdy kierowcy</w:t>
      </w:r>
      <w:r>
        <w:t xml:space="preserve"> </w:t>
      </w:r>
      <w:r w:rsidR="008B0153">
        <w:t>–</w:t>
      </w:r>
      <w:r>
        <w:t xml:space="preserve"> asystenta stylu jazdy</w:t>
      </w:r>
      <w:r w:rsidRPr="00DD2692">
        <w:t xml:space="preserve">, </w:t>
      </w:r>
      <w:r>
        <w:t>modernizację</w:t>
      </w:r>
      <w:r w:rsidRPr="00DD2692">
        <w:t xml:space="preserve"> pojazdu z silnikiem spalinowym </w:t>
      </w:r>
      <w:r>
        <w:t>związaną z wymianą silnika spalinowego na silnik elektryczny lub na silnik napędzany</w:t>
      </w:r>
      <w:r w:rsidR="00194441">
        <w:t xml:space="preserve"> LNG albo CNG, </w:t>
      </w:r>
      <w:r w:rsidR="00194441">
        <w:lastRenderedPageBreak/>
        <w:t xml:space="preserve">montaż </w:t>
      </w:r>
      <w:r w:rsidRPr="00DD2692">
        <w:t>urządzeń do odzysku energii z hamowania</w:t>
      </w:r>
      <w:r>
        <w:t xml:space="preserve"> </w:t>
      </w:r>
      <w:r w:rsidR="007369F2">
        <w:t xml:space="preserve">lub </w:t>
      </w:r>
      <w:r w:rsidRPr="00DD2692">
        <w:t>montaż liczników energii w pojazdach trakcyjnych</w:t>
      </w:r>
      <w:r>
        <w:t>,</w:t>
      </w:r>
    </w:p>
    <w:p w14:paraId="753B22EB" w14:textId="77777777" w:rsidR="00105434" w:rsidRDefault="00105434" w:rsidP="00AB0109">
      <w:pPr>
        <w:pStyle w:val="ZLITwPKTzmlitwpktartykuempunktem"/>
      </w:pPr>
      <w:r>
        <w:t>c)</w:t>
      </w:r>
      <w:r>
        <w:tab/>
      </w:r>
      <w:r w:rsidRPr="00DD2692">
        <w:t xml:space="preserve">dokonuje się obliczeń </w:t>
      </w:r>
      <w:r>
        <w:t xml:space="preserve">średniorocznych </w:t>
      </w:r>
      <w:r w:rsidRPr="00DD2692">
        <w:t>oszczędności</w:t>
      </w:r>
      <w:r>
        <w:t xml:space="preserve"> energii</w:t>
      </w:r>
      <w:r w:rsidRPr="00DD2692">
        <w:t xml:space="preserve"> możliwych do uzyskania do zakończenia cyklu życia modernizowanego pojazdu w stosunku do zużycia energii przez dany pojazd przed modernizacją</w:t>
      </w:r>
      <w:r>
        <w:t>;</w:t>
      </w:r>
    </w:p>
    <w:p w14:paraId="78B77612" w14:textId="77777777" w:rsidR="00105434" w:rsidRDefault="00105434" w:rsidP="00AB0109">
      <w:pPr>
        <w:pStyle w:val="ZPKTzmpktartykuempunktem"/>
      </w:pPr>
      <w:r>
        <w:t>14)</w:t>
      </w:r>
      <w:r>
        <w:tab/>
        <w:t xml:space="preserve">w zakresie ograniczania </w:t>
      </w:r>
      <w:r w:rsidRPr="00DD2692">
        <w:t>strat związanych z magazynowaniem i przeładunkiem paliw ciekłych</w:t>
      </w:r>
      <w:r>
        <w:t>:</w:t>
      </w:r>
    </w:p>
    <w:p w14:paraId="3139958A" w14:textId="77777777" w:rsidR="00105434" w:rsidRDefault="00105434" w:rsidP="00AB0109">
      <w:pPr>
        <w:pStyle w:val="ZLITwPKTzmlitwpktartykuempunktem"/>
      </w:pPr>
      <w:r>
        <w:t>a)</w:t>
      </w:r>
      <w:r>
        <w:tab/>
      </w:r>
      <w:r w:rsidRPr="00DD2692">
        <w:t>uwzględnia się specyficzne wymagania w zakresie pomiarów dotyczących metody badań, jakie należy stosować na stacjach paliw w celu skontrolowania działania systemów odzyskiwania par paliwa określone w Polskich Normach</w:t>
      </w:r>
      <w:r>
        <w:t>,</w:t>
      </w:r>
    </w:p>
    <w:p w14:paraId="092A927F" w14:textId="77777777" w:rsidR="00105434" w:rsidRDefault="00105434" w:rsidP="00AB0109">
      <w:pPr>
        <w:pStyle w:val="ZLITwPKTzmlitwpktartykuempunktem"/>
      </w:pPr>
      <w:r>
        <w:t>b)</w:t>
      </w:r>
      <w:r>
        <w:tab/>
      </w:r>
      <w:r w:rsidRPr="00DD2692">
        <w:t>wykonuje się pomiary i analizę danych charakteryzujących zbiornik i jego eksploatację, parametrów klimatycznych dla danej lokalizacji zbiornika, charakterystyki przechowywanej cieczy oraz czasokresu magazynowania w celu zbadania możliwości modernizacji zbiornika magazynującego paliwa ciekłe.</w:t>
      </w:r>
      <w:r>
        <w:t>”;</w:t>
      </w:r>
    </w:p>
    <w:p w14:paraId="4142D0ED" w14:textId="77777777" w:rsidR="00105434" w:rsidRDefault="00105434" w:rsidP="00105434">
      <w:pPr>
        <w:pStyle w:val="PKTpunkt"/>
      </w:pPr>
      <w:r>
        <w:t>2)</w:t>
      </w:r>
      <w:r>
        <w:tab/>
      </w:r>
      <w:bookmarkStart w:id="1" w:name="_Hlk87862271"/>
      <w:r w:rsidRPr="00003D3D">
        <w:t>§</w:t>
      </w:r>
      <w:bookmarkEnd w:id="1"/>
      <w:r w:rsidRPr="00003D3D">
        <w:t xml:space="preserve"> </w:t>
      </w:r>
      <w:r>
        <w:t>13 otrzymuje brzmienie:</w:t>
      </w:r>
    </w:p>
    <w:p w14:paraId="3B55F62E" w14:textId="341361FA" w:rsidR="00105434" w:rsidRDefault="00105434" w:rsidP="00AB0109">
      <w:pPr>
        <w:pStyle w:val="ZARTzmartartykuempunktem"/>
      </w:pPr>
      <w:r>
        <w:t>„</w:t>
      </w:r>
      <w:r w:rsidRPr="00003D3D">
        <w:t>§</w:t>
      </w:r>
      <w:r>
        <w:t> 13. </w:t>
      </w:r>
      <w:r w:rsidRPr="00EC20DB">
        <w:t>Wartości współczynników sprawności procesów przetworzenia energii pierwotnej w energię finalną określa się oddzielnie dla</w:t>
      </w:r>
      <w:r>
        <w:t xml:space="preserve"> energii elektrycznej, ciepła, gazu ziemnego i paliw ciekłych</w:t>
      </w:r>
      <w:r w:rsidRPr="00EC20DB">
        <w:t xml:space="preserve"> przyjmując, że są one równe odwrotności współczynników nakładu nieodnawialnej energii pierwotnej, stosownie do wykorzystywanego rodzaju nośnika energii lub źródła energii, </w:t>
      </w:r>
      <w:r>
        <w:t xml:space="preserve">które zostały określone w tabeli 1 załącznika nr 4 do rozporządzenia. Współczynnik nakładu </w:t>
      </w:r>
      <w:r w:rsidRPr="00EC20DB">
        <w:t>nieodnawialnej energii pierwotnej</w:t>
      </w:r>
      <w:r>
        <w:t xml:space="preserve"> dla ciepła dostarczanego z sieci ciepłowniczej oblicza się według wzoru (3) określonego w pkt 1.3 załącznika nr 4 do rozporządzenia. </w:t>
      </w:r>
      <w:r w:rsidRPr="00E07427">
        <w:t>Współczynnik nakładu nieodnawialnej energii pierwotnej dla gazu ziemnego, dostarczanego do odbiorcy końcowego z sieci gazowej</w:t>
      </w:r>
      <w:r w:rsidR="00696468">
        <w:t xml:space="preserve"> jako suma gazu zimnego i biogazu</w:t>
      </w:r>
      <w:r w:rsidRPr="00696468">
        <w:t>,</w:t>
      </w:r>
      <w:r w:rsidRPr="00E07427">
        <w:t xml:space="preserve"> </w:t>
      </w:r>
      <w:r>
        <w:t>oblicza się według wzoru (4) określonego w</w:t>
      </w:r>
      <w:r w:rsidRPr="00E07427">
        <w:t xml:space="preserve"> pkt 1.4 załącznika nr 4 do rozporządzenia.</w:t>
      </w:r>
    </w:p>
    <w:p w14:paraId="6BD213A2" w14:textId="045C9229" w:rsidR="00105434" w:rsidRDefault="00105434" w:rsidP="00912B0A">
      <w:pPr>
        <w:pStyle w:val="PKTpunkt"/>
      </w:pPr>
      <w:r>
        <w:t>3)</w:t>
      </w:r>
      <w:r w:rsidR="00AB5174" w:rsidRPr="00AB5174">
        <w:tab/>
      </w:r>
      <w:r w:rsidR="008D779E">
        <w:t>w</w:t>
      </w:r>
      <w:r>
        <w:t xml:space="preserve"> </w:t>
      </w:r>
      <w:r w:rsidRPr="00003D3D">
        <w:t>§</w:t>
      </w:r>
      <w:r>
        <w:t xml:space="preserve"> 14 dotychczasową treść oznacza się jako ust. 1 i dodaje się ust. 2 w brzmieniu:</w:t>
      </w:r>
    </w:p>
    <w:p w14:paraId="75480E48" w14:textId="767A3CD6" w:rsidR="00105434" w:rsidRPr="00A34C54" w:rsidRDefault="00A34C54" w:rsidP="00AB0109">
      <w:pPr>
        <w:pStyle w:val="ZUSTzmustartykuempunktem"/>
      </w:pPr>
      <w:r>
        <w:t>„</w:t>
      </w:r>
      <w:r w:rsidR="00105434" w:rsidRPr="00A34C54">
        <w:t>2. Zawartość energii dla paliw ciekłych oblicza się stosując wartości opałowe określone w przepisach wydanych na podstawie art. 30h ustawy z dnia 25 sierpnia 2006 r. o systemie monitorowania i kontrolowania jakości paliw (Dz. U. z 2021 r. poz. 133, 1093 i 1642), a następnie jednostki energii przelicza się zgodnie z załącznikiem nr 5 do rozporządzenia.”;</w:t>
      </w:r>
    </w:p>
    <w:p w14:paraId="6858D7AA" w14:textId="2AA4BE14" w:rsidR="00105434" w:rsidRPr="00A34C54" w:rsidRDefault="00105434" w:rsidP="00A34C54">
      <w:pPr>
        <w:pStyle w:val="PKTpunkt"/>
      </w:pPr>
      <w:r w:rsidRPr="00A34C54">
        <w:lastRenderedPageBreak/>
        <w:t>4)</w:t>
      </w:r>
      <w:r w:rsidRPr="00A34C54">
        <w:tab/>
        <w:t xml:space="preserve">załącznik nr 1 otrzymuje brzmienie określone w załączniku </w:t>
      </w:r>
      <w:r w:rsidR="00F06698">
        <w:t xml:space="preserve">nr 1 </w:t>
      </w:r>
      <w:bookmarkStart w:id="2" w:name="_Hlk88434356"/>
      <w:r w:rsidRPr="00A34C54">
        <w:t>do niniejszego rozporządzenia</w:t>
      </w:r>
      <w:bookmarkEnd w:id="2"/>
      <w:r w:rsidRPr="00A34C54">
        <w:t>;</w:t>
      </w:r>
    </w:p>
    <w:p w14:paraId="132652A4" w14:textId="77777777" w:rsidR="00696468" w:rsidRDefault="00105434" w:rsidP="00696468">
      <w:pPr>
        <w:pStyle w:val="PKTpunkt"/>
      </w:pPr>
      <w:r w:rsidRPr="00A34C54">
        <w:t>5)</w:t>
      </w:r>
      <w:r w:rsidRPr="00A34C54">
        <w:tab/>
      </w:r>
      <w:r w:rsidR="00696468">
        <w:t xml:space="preserve">w </w:t>
      </w:r>
      <w:r w:rsidRPr="00A34C54">
        <w:t>załącznik</w:t>
      </w:r>
      <w:r w:rsidR="00696468">
        <w:t>u</w:t>
      </w:r>
      <w:r w:rsidRPr="00A34C54">
        <w:t xml:space="preserve"> nr 2</w:t>
      </w:r>
      <w:r w:rsidR="00696468">
        <w:t xml:space="preserve"> wprowadza się następujące zmiany:</w:t>
      </w:r>
    </w:p>
    <w:p w14:paraId="26D0E5CE" w14:textId="36511BBF" w:rsidR="00696468" w:rsidRDefault="00696468" w:rsidP="00912B0A">
      <w:pPr>
        <w:pStyle w:val="LITlitera"/>
      </w:pPr>
      <w:r>
        <w:t>a)</w:t>
      </w:r>
      <w:r w:rsidR="00A50648" w:rsidRPr="00A50648">
        <w:tab/>
      </w:r>
      <w:r>
        <w:t xml:space="preserve">w pkt 1.1. </w:t>
      </w:r>
      <w:r w:rsidR="00732B66" w:rsidRPr="00732B66">
        <w:t>„</w:t>
      </w:r>
      <w:r w:rsidRPr="00F85963">
        <w:t>Metody wykorzystywane do określania i weryfikacji oszczędności energii finalnej uzyskanej w wyniku realizacji przedsięwzięcia służącego poprawie efektywności energetycznej</w:t>
      </w:r>
      <w:r w:rsidR="00732B66" w:rsidRPr="006371E5">
        <w:t>”</w:t>
      </w:r>
      <w:r w:rsidR="00F74BBF">
        <w:t xml:space="preserve"> w tabeli</w:t>
      </w:r>
      <w:r>
        <w:t>:</w:t>
      </w:r>
    </w:p>
    <w:p w14:paraId="370CC64F" w14:textId="5AA1B072" w:rsidR="00696468" w:rsidRDefault="00AB0109" w:rsidP="00912B0A">
      <w:pPr>
        <w:pStyle w:val="TIRtiret"/>
      </w:pPr>
      <w:r w:rsidRPr="00003D3D">
        <w:t>–</w:t>
      </w:r>
      <w:r w:rsidR="00A50648" w:rsidRPr="00A34C54">
        <w:tab/>
      </w:r>
      <w:r w:rsidR="00811319">
        <w:t xml:space="preserve">w części </w:t>
      </w:r>
      <w:r w:rsidR="00270752">
        <w:t>„</w:t>
      </w:r>
      <w:r w:rsidR="00696468">
        <w:t>Określenie ilości zaoszczędzonej energii pierwotnej</w:t>
      </w:r>
      <w:r w:rsidR="006371E5" w:rsidRPr="006371E5">
        <w:t>”</w:t>
      </w:r>
      <w:r w:rsidR="00811319" w:rsidRPr="00811319">
        <w:t xml:space="preserve"> </w:t>
      </w:r>
      <w:r w:rsidR="00811319">
        <w:t>w kolumnie trzeciej</w:t>
      </w:r>
      <w:r w:rsidR="006371E5">
        <w:t xml:space="preserve"> </w:t>
      </w:r>
      <w:r w:rsidR="006371E5" w:rsidRPr="006371E5">
        <w:t>„</w:t>
      </w:r>
      <w:r w:rsidR="006371E5">
        <w:t>Definicje</w:t>
      </w:r>
      <w:r w:rsidR="006371E5" w:rsidRPr="006371E5">
        <w:t>”</w:t>
      </w:r>
      <w:r w:rsidR="006371E5">
        <w:t xml:space="preserve"> opisy symbolów otrzymują brzmienie</w:t>
      </w:r>
      <w:r w:rsidR="00696468">
        <w:t>:</w:t>
      </w:r>
    </w:p>
    <w:p w14:paraId="7EBC824F" w14:textId="0D9693EB" w:rsidR="00696468" w:rsidRPr="00A22E6D" w:rsidRDefault="00943140" w:rsidP="008C5855">
      <w:pPr>
        <w:pStyle w:val="ZLEGWMATFIZCHEMzmlegendywzorumatfizlubchemartykuempunktem"/>
      </w:pPr>
      <w:r w:rsidRPr="00A22E6D">
        <w:t>„</w:t>
      </w:r>
      <w:r w:rsidR="00696468" w:rsidRPr="006371E5">
        <w:rPr>
          <w:rStyle w:val="Kkursywa"/>
        </w:rPr>
        <w:sym w:font="Symbol" w:char="F044"/>
      </w:r>
      <w:proofErr w:type="spellStart"/>
      <w:r w:rsidR="00696468" w:rsidRPr="006371E5">
        <w:rPr>
          <w:rStyle w:val="Kkursywa"/>
        </w:rPr>
        <w:t>Qp</w:t>
      </w:r>
      <w:proofErr w:type="spellEnd"/>
      <w:r w:rsidR="00696468" w:rsidRPr="00A22E6D">
        <w:t xml:space="preserve"> –</w:t>
      </w:r>
      <w:r w:rsidR="006371E5">
        <w:tab/>
      </w:r>
      <w:r w:rsidR="00696468" w:rsidRPr="00A22E6D">
        <w:t>ilość zaoszczędzonej energii pierwotnej, wyrażonej w [kWh/rok],</w:t>
      </w:r>
    </w:p>
    <w:p w14:paraId="4F76A828" w14:textId="661C3ACA" w:rsidR="00696468" w:rsidRPr="00A22E6D" w:rsidRDefault="00696468" w:rsidP="008C5855">
      <w:pPr>
        <w:pStyle w:val="ZLEGWMATFIZCHEMzmlegendywzorumatfizlubchemartykuempunktem"/>
      </w:pPr>
      <w:r w:rsidRPr="006371E5">
        <w:rPr>
          <w:rStyle w:val="Kkursywa"/>
        </w:rPr>
        <w:sym w:font="Symbol" w:char="F044"/>
      </w:r>
      <w:r w:rsidRPr="006371E5">
        <w:rPr>
          <w:rStyle w:val="Kkursywa"/>
        </w:rPr>
        <w:t>Q</w:t>
      </w:r>
      <w:r w:rsidRPr="008C5855">
        <w:rPr>
          <w:rStyle w:val="IDindeksdolny"/>
        </w:rPr>
        <w:t xml:space="preserve">0 </w:t>
      </w:r>
      <w:r w:rsidRPr="00A22E6D">
        <w:t>–</w:t>
      </w:r>
      <w:r w:rsidR="006371E5">
        <w:tab/>
      </w:r>
      <w:r w:rsidRPr="00A22E6D">
        <w:t>ilość zaoszczędzonej energii finalnej, wyrażonej w [kWh/rok],</w:t>
      </w:r>
    </w:p>
    <w:p w14:paraId="13608C3F" w14:textId="671DD083" w:rsidR="00696468" w:rsidRDefault="00943140" w:rsidP="008C5855">
      <w:pPr>
        <w:pStyle w:val="ZLEGWMATFIZCHEMzmlegendywzorumatfizlubchemartykuempunktem"/>
      </w:pPr>
      <w:r>
        <w:t>„</w:t>
      </w:r>
      <w:proofErr w:type="spellStart"/>
      <w:r w:rsidR="00696468" w:rsidRPr="00546B17">
        <w:rPr>
          <w:rStyle w:val="Kkursywa"/>
        </w:rPr>
        <w:t>w</w:t>
      </w:r>
      <w:r w:rsidR="00696468" w:rsidRPr="008C5855">
        <w:rPr>
          <w:rStyle w:val="IDindeksdolny"/>
        </w:rPr>
        <w:t>i</w:t>
      </w:r>
      <w:proofErr w:type="spellEnd"/>
      <w:r w:rsidR="00696468" w:rsidRPr="00546B17">
        <w:rPr>
          <w:rStyle w:val="Kkursywa"/>
        </w:rPr>
        <w:t xml:space="preserve"> </w:t>
      </w:r>
      <w:r w:rsidR="00696468" w:rsidRPr="00003D3D">
        <w:t>–</w:t>
      </w:r>
      <w:r w:rsidR="006371E5">
        <w:tab/>
      </w:r>
      <w:r w:rsidR="00696468" w:rsidRPr="00003D3D">
        <w:t>współczynnik nakładu nieodnawialnej energii pierwotnej odpowiedni dla danego nośnika energii finalnej, stosownie do wykorzystywanego paliwa lub energii, określony na podstawie danych zawartych w tabeli nr 1 załącznika nr 4 do rozporządzenia</w:t>
      </w:r>
      <w:r w:rsidR="00696468">
        <w:t>.</w:t>
      </w:r>
      <w:r w:rsidR="00270752">
        <w:t>”</w:t>
      </w:r>
      <w:r w:rsidR="00696468">
        <w:t>,</w:t>
      </w:r>
    </w:p>
    <w:p w14:paraId="79F10ED2" w14:textId="6BAD1C10" w:rsidR="00696468" w:rsidRPr="00270752" w:rsidRDefault="008B0153" w:rsidP="00912B0A">
      <w:pPr>
        <w:pStyle w:val="TIRtiret"/>
      </w:pPr>
      <w:r>
        <w:t>–</w:t>
      </w:r>
      <w:r w:rsidR="00696468" w:rsidRPr="00270752">
        <w:tab/>
      </w:r>
      <w:r w:rsidR="00F06698">
        <w:t>po części</w:t>
      </w:r>
      <w:r w:rsidR="00696468" w:rsidRPr="00270752">
        <w:t xml:space="preserve"> </w:t>
      </w:r>
      <w:r w:rsidR="00270752" w:rsidRPr="00270752">
        <w:t>„</w:t>
      </w:r>
      <w:r w:rsidR="00696468" w:rsidRPr="00270752">
        <w:t>Określenie ilości zaoszczędzonej energii pierwotnej</w:t>
      </w:r>
      <w:r w:rsidR="00270752" w:rsidRPr="00270752">
        <w:t>”</w:t>
      </w:r>
      <w:r w:rsidR="00696468" w:rsidRPr="00270752">
        <w:t xml:space="preserve"> dodaje się </w:t>
      </w:r>
      <w:r w:rsidR="00F06698">
        <w:t xml:space="preserve">część </w:t>
      </w:r>
      <w:r w:rsidR="00696468" w:rsidRPr="00270752">
        <w:t>„Wymiana pojazdów służących do transportu drogowego” w brzmieniu</w:t>
      </w:r>
      <w:r w:rsidR="00F06698" w:rsidRPr="00F06698">
        <w:t xml:space="preserve"> określon</w:t>
      </w:r>
      <w:r w:rsidR="00F06698">
        <w:t>ym</w:t>
      </w:r>
      <w:r w:rsidR="00F06698" w:rsidRPr="00F06698">
        <w:t xml:space="preserve"> w załączniku </w:t>
      </w:r>
      <w:r w:rsidR="00F06698">
        <w:t xml:space="preserve">nr 2 </w:t>
      </w:r>
      <w:r w:rsidR="00F06698" w:rsidRPr="00F06698">
        <w:t>do niniejszego rozporządzenia</w:t>
      </w:r>
      <w:r w:rsidR="00696468" w:rsidRPr="00270752">
        <w:t>:</w:t>
      </w:r>
    </w:p>
    <w:p w14:paraId="74559DC2" w14:textId="0244A372" w:rsidR="00270752" w:rsidRPr="00270752" w:rsidRDefault="00270752" w:rsidP="00E10B5D">
      <w:pPr>
        <w:pStyle w:val="LITlitera"/>
      </w:pPr>
      <w:r w:rsidRPr="00270752">
        <w:t>b)</w:t>
      </w:r>
      <w:r w:rsidR="00A50648" w:rsidRPr="00A50648">
        <w:tab/>
      </w:r>
      <w:r w:rsidRPr="00270752">
        <w:t xml:space="preserve">w pkt 1.2. </w:t>
      </w:r>
      <w:bookmarkStart w:id="3" w:name="_Hlk88470995"/>
      <w:r w:rsidR="00732B66" w:rsidRPr="00732B66">
        <w:t>„</w:t>
      </w:r>
      <w:bookmarkEnd w:id="3"/>
      <w:r w:rsidRPr="00270752">
        <w:t>Dane wykorzystywane do określania i weryfikacji ilości energii zaoszczędzonej w wyniku realizacji przedsięwzięcia służącego poprawie efektywności energetycznej</w:t>
      </w:r>
      <w:r w:rsidR="00732B66">
        <w:t>”</w:t>
      </w:r>
      <w:r w:rsidRPr="00270752">
        <w:t xml:space="preserve"> </w:t>
      </w:r>
      <w:r w:rsidR="008B0153">
        <w:t>po</w:t>
      </w:r>
      <w:r w:rsidR="008B0153" w:rsidRPr="00270752">
        <w:t xml:space="preserve"> </w:t>
      </w:r>
      <w:r w:rsidR="00732B66">
        <w:t>t</w:t>
      </w:r>
      <w:r w:rsidRPr="00E10B5D">
        <w:t>abel</w:t>
      </w:r>
      <w:r w:rsidR="008B0153" w:rsidRPr="00E10B5D">
        <w:t>i</w:t>
      </w:r>
      <w:r w:rsidRPr="00E10B5D">
        <w:t xml:space="preserve"> nr 8 </w:t>
      </w:r>
      <w:r w:rsidR="00732B66" w:rsidRPr="00732B66">
        <w:t>„</w:t>
      </w:r>
      <w:r w:rsidRPr="00E10B5D">
        <w:t>Średnia wartość współczynnika KP w podziale na sektory</w:t>
      </w:r>
      <w:r w:rsidR="00732B66">
        <w:t>”</w:t>
      </w:r>
      <w:r w:rsidR="008B0153">
        <w:t xml:space="preserve"> </w:t>
      </w:r>
      <w:r w:rsidRPr="00270752">
        <w:t>dodaje się tabele nr 9</w:t>
      </w:r>
      <w:r w:rsidR="00E10B5D" w:rsidRPr="00E10B5D">
        <w:t>–</w:t>
      </w:r>
      <w:r w:rsidRPr="00270752">
        <w:t>11</w:t>
      </w:r>
      <w:r w:rsidR="008B0153">
        <w:t xml:space="preserve"> w brzmieniu</w:t>
      </w:r>
      <w:r w:rsidR="00E10B5D">
        <w:t xml:space="preserve"> określonym w załączniku nr 3</w:t>
      </w:r>
      <w:r w:rsidR="00E10B5D" w:rsidRPr="00E10B5D">
        <w:t xml:space="preserve"> do niniejszego rozporządzenia</w:t>
      </w:r>
      <w:r w:rsidR="00E10B5D">
        <w:t>;</w:t>
      </w:r>
    </w:p>
    <w:p w14:paraId="1D6BE678" w14:textId="77777777" w:rsidR="00307EC5" w:rsidRDefault="00105434" w:rsidP="00A34C54">
      <w:pPr>
        <w:pStyle w:val="PKTpunkt"/>
      </w:pPr>
      <w:r w:rsidRPr="00A34C54">
        <w:t>6)</w:t>
      </w:r>
      <w:r w:rsidRPr="00A34C54">
        <w:tab/>
      </w:r>
      <w:r w:rsidR="00307EC5">
        <w:t xml:space="preserve">w </w:t>
      </w:r>
      <w:r w:rsidRPr="00A34C54">
        <w:t>załącznik</w:t>
      </w:r>
      <w:r w:rsidR="00307EC5">
        <w:t>u</w:t>
      </w:r>
      <w:r w:rsidRPr="00A34C54">
        <w:t xml:space="preserve"> nr </w:t>
      </w:r>
      <w:r w:rsidR="00A34C54" w:rsidRPr="00A34C54">
        <w:t>4</w:t>
      </w:r>
      <w:r w:rsidRPr="00A34C54">
        <w:t xml:space="preserve"> </w:t>
      </w:r>
      <w:r w:rsidR="00307EC5">
        <w:t>wprowadza się następujące zmiany:</w:t>
      </w:r>
    </w:p>
    <w:p w14:paraId="7DC82790" w14:textId="71842428" w:rsidR="00307EC5" w:rsidRDefault="00307EC5" w:rsidP="00732B66">
      <w:pPr>
        <w:pStyle w:val="LITlitera"/>
      </w:pPr>
      <w:r>
        <w:t>a)</w:t>
      </w:r>
      <w:r w:rsidR="00A50648" w:rsidRPr="00A50648">
        <w:tab/>
      </w:r>
      <w:r>
        <w:t>po pkt 1.3</w:t>
      </w:r>
      <w:r w:rsidR="00732B66">
        <w:t xml:space="preserve"> </w:t>
      </w:r>
      <w:r w:rsidR="00732B66" w:rsidRPr="00732B66">
        <w:t>„Sposób wyznaczania wskaźnika nakładu nieodnawialnej energii pierwotnej dla sieci</w:t>
      </w:r>
      <w:r w:rsidR="00732B66">
        <w:t xml:space="preserve"> </w:t>
      </w:r>
      <w:r w:rsidR="00732B66" w:rsidRPr="00732B66">
        <w:t>ciepłowniczej”</w:t>
      </w:r>
      <w:r w:rsidR="00732B66">
        <w:t xml:space="preserve"> </w:t>
      </w:r>
      <w:r>
        <w:t>dodaje się pkt 1.4 o brzmieniu:</w:t>
      </w:r>
    </w:p>
    <w:p w14:paraId="02A2C4B0" w14:textId="77777777" w:rsidR="00307EC5" w:rsidRPr="00105434" w:rsidRDefault="00307EC5" w:rsidP="008C5855">
      <w:pPr>
        <w:pStyle w:val="ZLITzmlitartykuempunktem"/>
      </w:pPr>
      <w:r>
        <w:t>„1.4.W</w:t>
      </w:r>
      <w:r w:rsidRPr="00105434">
        <w:t>spółczynnik nakładu nieodnawialnej energii pierwotnej dla gazu ziemnego, dostarczanego do odbiorcy końcowego z sieci gazowej jako suma gazu ziemnego i biogazu, oznaczony symbolem „</w:t>
      </w:r>
      <w:proofErr w:type="spellStart"/>
      <w:r w:rsidRPr="00105434">
        <w:t>W</w:t>
      </w:r>
      <w:r w:rsidRPr="00912B0A">
        <w:rPr>
          <w:rStyle w:val="IDindeksdolny"/>
        </w:rPr>
        <w:t>P,g</w:t>
      </w:r>
      <w:proofErr w:type="spellEnd"/>
      <w:r w:rsidRPr="00105434">
        <w:t>”, oblicza się go według wzoru:</w:t>
      </w:r>
    </w:p>
    <w:p w14:paraId="396053B4" w14:textId="756BFDD3" w:rsidR="00307EC5" w:rsidRPr="00105434" w:rsidRDefault="00307EC5" w:rsidP="008C5855">
      <w:pPr>
        <w:pStyle w:val="ZLITzmlitartykuempunktem"/>
      </w:pPr>
      <w:r w:rsidRPr="00105434">
        <w:t>(4)</w:t>
      </w:r>
    </w:p>
    <w:p w14:paraId="218D4A39" w14:textId="16C5B1DA" w:rsidR="00307EC5" w:rsidRPr="00105434" w:rsidRDefault="00E81CA1" w:rsidP="008C5855">
      <w:pPr>
        <w:pStyle w:val="ZLEGWMATFIZCHEMzmlegendywzorumatfizlubchemartykuempunktem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Pg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</m:nary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14:paraId="44653743" w14:textId="5F08E05A" w:rsidR="00307EC5" w:rsidRDefault="00307EC5" w:rsidP="008C5855">
      <w:pPr>
        <w:pStyle w:val="ZTIRzmtirartykuempunktem"/>
      </w:pPr>
      <w:r w:rsidRPr="00105434">
        <w:t>gdzie poszczególne symbole oznaczają:</w:t>
      </w:r>
    </w:p>
    <w:p w14:paraId="7293D63A" w14:textId="72D44E1C" w:rsidR="00400BF3" w:rsidRDefault="00400BF3" w:rsidP="00400BF3">
      <w:pPr>
        <w:pStyle w:val="ZLEGWMATFIZCHEMzmlegendywzorumatfizlubchemartykuempunktem"/>
      </w:pPr>
      <w:proofErr w:type="spellStart"/>
      <w:r w:rsidRPr="008C5855">
        <w:rPr>
          <w:rStyle w:val="Kkursywa"/>
        </w:rPr>
        <w:lastRenderedPageBreak/>
        <w:t>w</w:t>
      </w:r>
      <w:r w:rsidRPr="008C5855">
        <w:rPr>
          <w:rStyle w:val="IDKindeksdolnyikursywa"/>
        </w:rPr>
        <w:t>P,i</w:t>
      </w:r>
      <w:proofErr w:type="spellEnd"/>
      <w:r w:rsidRPr="008C5855">
        <w:rPr>
          <w:rStyle w:val="IDKindeksdolnyikursywa"/>
        </w:rPr>
        <w:t xml:space="preserve"> </w:t>
      </w:r>
      <w:r w:rsidR="009D1747" w:rsidRPr="009D1747">
        <w:rPr>
          <w:rStyle w:val="IDindeksdolny"/>
        </w:rPr>
        <w:t>–</w:t>
      </w:r>
      <w:r w:rsidR="009D1747">
        <w:rPr>
          <w:rStyle w:val="IDindeksdolny"/>
        </w:rPr>
        <w:tab/>
      </w:r>
      <w:r w:rsidRPr="00912B0A">
        <w:rPr>
          <w:rStyle w:val="IDindeksdolny"/>
        </w:rPr>
        <w:t xml:space="preserve"> </w:t>
      </w:r>
      <w:r w:rsidRPr="00105434">
        <w:t>współczynnik nakładu nieodnawialnej energii pierwotnej, określony w tabeli 1, odpowiedni dla danego nośnika energii finalnej, stosownie do wykorzystywanego paliwa lub źródła energii,</w:t>
      </w:r>
    </w:p>
    <w:p w14:paraId="3FC0D320" w14:textId="1595D732" w:rsidR="009D1747" w:rsidRPr="00105434" w:rsidRDefault="009D1747" w:rsidP="008C5855">
      <w:pPr>
        <w:pStyle w:val="ZLEGWMATFIZCHEMzmlegendywzorumatfizlubchemartykuempunktem"/>
      </w:pPr>
      <w:proofErr w:type="spellStart"/>
      <w:r w:rsidRPr="008C5855">
        <w:rPr>
          <w:rStyle w:val="Kkursywa"/>
        </w:rPr>
        <w:t>V</w:t>
      </w:r>
      <w:r w:rsidRPr="008C5855">
        <w:rPr>
          <w:rStyle w:val="IDKindeksdolnyikursywa"/>
        </w:rPr>
        <w:t>g</w:t>
      </w:r>
      <w:proofErr w:type="spellEnd"/>
      <w:r w:rsidRPr="008C5855">
        <w:rPr>
          <w:rStyle w:val="IDKindeksdolnyikursywa"/>
        </w:rPr>
        <w:t>, i –</w:t>
      </w:r>
      <w:r>
        <w:tab/>
      </w:r>
      <w:r w:rsidRPr="009D1747">
        <w:t>objętość gazu, w tym gazu ziemnego lub biogazu, wprowadzonego do sieci gazowej, liczona jako suma objętości gazu ziemnego lub biogazu wprowadzonego w ciągu roku do danej sieci gazowej, w roku kalendarzowym poprzedzającym rok, w którym sporządzany jest audyt efektywności energetycznej, wyrażona w m</w:t>
      </w:r>
      <w:r w:rsidRPr="008C5855">
        <w:rPr>
          <w:rStyle w:val="IGindeksgrny"/>
        </w:rPr>
        <w:t>3</w:t>
      </w:r>
      <w:r w:rsidRPr="009D1747">
        <w:t>/rok.”</w:t>
      </w:r>
      <w:r>
        <w:t>,</w:t>
      </w:r>
    </w:p>
    <w:p w14:paraId="1168DDEF" w14:textId="448931D2" w:rsidR="00307EC5" w:rsidRDefault="00307EC5" w:rsidP="00732B66">
      <w:pPr>
        <w:pStyle w:val="LITlitera"/>
      </w:pPr>
      <w:r>
        <w:t>b)</w:t>
      </w:r>
      <w:r w:rsidR="00A50648" w:rsidRPr="00A50648">
        <w:tab/>
      </w:r>
      <w:r>
        <w:t>tabela 1</w:t>
      </w:r>
      <w:r w:rsidR="00D15005">
        <w:t xml:space="preserve"> </w:t>
      </w:r>
      <w:r w:rsidR="00D15005" w:rsidRPr="00D15005">
        <w:t>„Wartości współczynnika nakładu nieodnawialnej energii pierwotnej dla</w:t>
      </w:r>
      <w:r w:rsidR="00732B66">
        <w:t xml:space="preserve"> </w:t>
      </w:r>
      <w:r w:rsidR="00D15005" w:rsidRPr="00D15005">
        <w:t xml:space="preserve">poszczególnych nośników energii </w:t>
      </w:r>
      <w:r>
        <w:t>otrzymuje</w:t>
      </w:r>
      <w:r w:rsidR="00732B66" w:rsidRPr="00732B66">
        <w:t>”</w:t>
      </w:r>
      <w:r>
        <w:t xml:space="preserve"> brzmienie</w:t>
      </w:r>
      <w:r w:rsidR="00B200A8">
        <w:t xml:space="preserve"> określone w brzmieniu</w:t>
      </w:r>
      <w:r w:rsidR="00D15005" w:rsidRPr="00D15005">
        <w:t xml:space="preserve"> określonym w załączniku nr </w:t>
      </w:r>
      <w:r w:rsidR="00D15005">
        <w:t>4</w:t>
      </w:r>
      <w:r w:rsidR="00D15005" w:rsidRPr="00D15005">
        <w:t xml:space="preserve"> do niniejszego rozporządzenia</w:t>
      </w:r>
      <w:r w:rsidR="00D15005">
        <w:t>.</w:t>
      </w:r>
    </w:p>
    <w:p w14:paraId="4F39C066" w14:textId="77777777" w:rsidR="00105434" w:rsidRDefault="00105434" w:rsidP="002708A6">
      <w:pPr>
        <w:pStyle w:val="ARTartustawynprozporzdzenia"/>
      </w:pPr>
      <w:r w:rsidRPr="008C5855">
        <w:rPr>
          <w:rStyle w:val="Ppogrubienie"/>
        </w:rPr>
        <w:t>§ 2.</w:t>
      </w:r>
      <w:r>
        <w:t> Do audytów zleconych przed dniem wejścia w życie niniejszego rozporządzenia stosuje się przepisy dotychczasowe.</w:t>
      </w:r>
    </w:p>
    <w:p w14:paraId="7596E24B" w14:textId="65869A1B" w:rsidR="00105434" w:rsidRDefault="00105434" w:rsidP="002708A6">
      <w:pPr>
        <w:pStyle w:val="ARTartustawynprozporzdzenia"/>
      </w:pPr>
      <w:r w:rsidRPr="008C5855">
        <w:rPr>
          <w:rStyle w:val="Ppogrubienie"/>
        </w:rPr>
        <w:t>§ 3.</w:t>
      </w:r>
      <w:r>
        <w:t> Rozporządzenie wchodzi w życie 14 dni po dniu ogłoszenia.</w:t>
      </w:r>
    </w:p>
    <w:p w14:paraId="38743DE6" w14:textId="77777777" w:rsidR="00105434" w:rsidRDefault="00105434" w:rsidP="00105434">
      <w:pPr>
        <w:pStyle w:val="PKTpunkt"/>
      </w:pPr>
    </w:p>
    <w:p w14:paraId="5E7774B3" w14:textId="77777777" w:rsidR="00105434" w:rsidRPr="009B2A95" w:rsidRDefault="00105434" w:rsidP="00105434">
      <w:pPr>
        <w:pStyle w:val="NAZORGWYDnazwaorganuwydajcegoprojektowanyakt"/>
      </w:pPr>
      <w:r w:rsidRPr="00513070">
        <w:t>MINISTER KLIMATU I Środowiska</w:t>
      </w:r>
    </w:p>
    <w:p w14:paraId="4E72C336" w14:textId="77777777" w:rsidR="00C565A1" w:rsidRDefault="00C565A1">
      <w:pPr>
        <w:widowControl/>
        <w:autoSpaceDE/>
        <w:autoSpaceDN/>
        <w:adjustRightInd/>
      </w:pPr>
    </w:p>
    <w:p w14:paraId="5D7AD7B3" w14:textId="77777777" w:rsidR="00C565A1" w:rsidRDefault="00C565A1">
      <w:pPr>
        <w:widowControl/>
        <w:autoSpaceDE/>
        <w:autoSpaceDN/>
        <w:adjustRightInd/>
      </w:pPr>
    </w:p>
    <w:p w14:paraId="5CF3EE4F" w14:textId="77777777" w:rsidR="00C565A1" w:rsidRDefault="00C565A1">
      <w:pPr>
        <w:widowControl/>
        <w:autoSpaceDE/>
        <w:autoSpaceDN/>
        <w:adjustRightInd/>
      </w:pPr>
    </w:p>
    <w:p w14:paraId="613E6D04" w14:textId="77777777" w:rsidR="00B40AE6" w:rsidRPr="00B40AE6" w:rsidRDefault="00B40AE6" w:rsidP="00B40AE6">
      <w:r w:rsidRPr="00B40AE6">
        <w:t>Za zgodność pod względem prawnym, legislacyjnym i redakcyjnym</w:t>
      </w:r>
    </w:p>
    <w:p w14:paraId="32E923E5" w14:textId="77777777" w:rsidR="00B40AE6" w:rsidRPr="00B40AE6" w:rsidRDefault="00B40AE6" w:rsidP="00B40AE6">
      <w:r w:rsidRPr="00B40AE6">
        <w:t>Zastępca Dyrektora Departamentu Prawnego</w:t>
      </w:r>
    </w:p>
    <w:p w14:paraId="3512E22E" w14:textId="77777777" w:rsidR="00B40AE6" w:rsidRPr="00B40AE6" w:rsidRDefault="00B40AE6" w:rsidP="00B40AE6">
      <w:r w:rsidRPr="00B40AE6">
        <w:t>w Ministerstwie Klimatu i Środowiska</w:t>
      </w:r>
    </w:p>
    <w:p w14:paraId="307BDE52" w14:textId="77777777" w:rsidR="00B40AE6" w:rsidRPr="00B40AE6" w:rsidRDefault="00B40AE6" w:rsidP="00B40AE6">
      <w:r w:rsidRPr="00B40AE6">
        <w:t>Piotr Kudelski</w:t>
      </w:r>
    </w:p>
    <w:p w14:paraId="1B0CC0F0" w14:textId="77777777" w:rsidR="00B40AE6" w:rsidRPr="00B40AE6" w:rsidRDefault="00B40AE6" w:rsidP="00B40AE6">
      <w:r w:rsidRPr="00B40AE6">
        <w:t> (- podpisano kwalifikowanym podpisem elektronicznym)</w:t>
      </w:r>
    </w:p>
    <w:p w14:paraId="4297A0BE" w14:textId="77777777" w:rsidR="00C565A1" w:rsidRDefault="00C565A1">
      <w:pPr>
        <w:widowControl/>
        <w:autoSpaceDE/>
        <w:autoSpaceDN/>
        <w:adjustRightInd/>
      </w:pPr>
    </w:p>
    <w:p w14:paraId="27C4D032" w14:textId="01040762" w:rsidR="004D427B" w:rsidRDefault="004D427B">
      <w:pPr>
        <w:widowControl/>
        <w:autoSpaceDE/>
        <w:autoSpaceDN/>
        <w:adjustRightInd/>
        <w:rPr>
          <w:rFonts w:ascii="Times" w:hAnsi="Times"/>
          <w:bCs/>
        </w:rPr>
      </w:pPr>
      <w:r>
        <w:br w:type="page"/>
      </w:r>
    </w:p>
    <w:p w14:paraId="6DAB7935" w14:textId="5E4912D7" w:rsidR="004D427B" w:rsidRDefault="004D427B" w:rsidP="004D427B">
      <w:pPr>
        <w:pStyle w:val="TEKSTZacznikido"/>
      </w:pPr>
      <w:r>
        <w:lastRenderedPageBreak/>
        <w:t>Załączniki do rozporządzenia Ministra Klimatu i Środowiska z</w:t>
      </w:r>
      <w:r w:rsidR="009D1747">
        <w:t> </w:t>
      </w:r>
      <w:r>
        <w:t>dnia … (poz. …)</w:t>
      </w:r>
    </w:p>
    <w:p w14:paraId="6655D466" w14:textId="77777777" w:rsidR="004D427B" w:rsidRDefault="004D427B" w:rsidP="004D427B">
      <w:pPr>
        <w:pStyle w:val="TEKSTZacznikido"/>
      </w:pPr>
    </w:p>
    <w:p w14:paraId="05C2277F" w14:textId="77777777" w:rsidR="004D427B" w:rsidRPr="003C750C" w:rsidRDefault="004D427B" w:rsidP="00821BD3">
      <w:pPr>
        <w:pStyle w:val="OZNZACZNIKAwskazanienrzacznika"/>
      </w:pPr>
      <w:r w:rsidRPr="003C750C">
        <w:t>Załącznik nr 1</w:t>
      </w:r>
    </w:p>
    <w:p w14:paraId="220A76CD" w14:textId="77777777" w:rsidR="004D427B" w:rsidRPr="00105434" w:rsidRDefault="004D427B" w:rsidP="004D427B">
      <w:pPr>
        <w:pStyle w:val="TYTDZOZNoznaczenietytuulubdziau"/>
      </w:pPr>
      <w:r w:rsidRPr="00105434">
        <w:t>PRZEDSIĘWZIĘCIA SŁUŻĄCE POPRAWIE EFEKTYWNOŚCI ENERGETYCZNEJ, DLA KTÓRYCH AUDYT EFEKTYWNOŚCI ENERGETYCZNEJ MOŻE BYĆ SPORZ</w:t>
      </w:r>
      <w:r>
        <w:t>Ą</w:t>
      </w:r>
      <w:r w:rsidRPr="00105434">
        <w:t>DZoNY W SPOSÓB UPROSZCZONY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8160"/>
      </w:tblGrid>
      <w:tr w:rsidR="004D427B" w:rsidRPr="003C750C" w14:paraId="0501E600" w14:textId="77777777" w:rsidTr="00821BD3">
        <w:tc>
          <w:tcPr>
            <w:tcW w:w="896" w:type="dxa"/>
          </w:tcPr>
          <w:p w14:paraId="6DA2ED9B" w14:textId="77777777" w:rsidR="004D427B" w:rsidRPr="004D427B" w:rsidRDefault="004D427B" w:rsidP="004D427B">
            <w:r w:rsidRPr="00105434">
              <w:t>Lp.</w:t>
            </w:r>
          </w:p>
        </w:tc>
        <w:tc>
          <w:tcPr>
            <w:tcW w:w="8374" w:type="dxa"/>
          </w:tcPr>
          <w:p w14:paraId="1E823A43" w14:textId="77777777" w:rsidR="004D427B" w:rsidRPr="004D427B" w:rsidRDefault="004D427B" w:rsidP="004D427B">
            <w:r w:rsidRPr="00105434">
              <w:t>Przedsięwzięcie służące poprawie efektywności energetycznej</w:t>
            </w:r>
          </w:p>
        </w:tc>
      </w:tr>
      <w:tr w:rsidR="004D427B" w:rsidRPr="003C750C" w14:paraId="3F114EB4" w14:textId="77777777" w:rsidTr="00821BD3">
        <w:tc>
          <w:tcPr>
            <w:tcW w:w="896" w:type="dxa"/>
          </w:tcPr>
          <w:p w14:paraId="34E13051" w14:textId="77777777" w:rsidR="004D427B" w:rsidRPr="004D427B" w:rsidRDefault="004D427B" w:rsidP="004D427B">
            <w:r w:rsidRPr="00105434">
              <w:t>1</w:t>
            </w:r>
          </w:p>
        </w:tc>
        <w:tc>
          <w:tcPr>
            <w:tcW w:w="8374" w:type="dxa"/>
          </w:tcPr>
          <w:p w14:paraId="3E07749C" w14:textId="77777777" w:rsidR="004D427B" w:rsidRPr="004D427B" w:rsidRDefault="004D427B" w:rsidP="004D427B">
            <w:r w:rsidRPr="00105434">
              <w:t>Ocieplenie ściany zewnętrznej, dachu lub stropodachu</w:t>
            </w:r>
          </w:p>
        </w:tc>
      </w:tr>
      <w:tr w:rsidR="004D427B" w:rsidRPr="003C750C" w14:paraId="756D515F" w14:textId="77777777" w:rsidTr="00821BD3">
        <w:tc>
          <w:tcPr>
            <w:tcW w:w="896" w:type="dxa"/>
          </w:tcPr>
          <w:p w14:paraId="1605148D" w14:textId="77777777" w:rsidR="004D427B" w:rsidRPr="004D427B" w:rsidRDefault="004D427B" w:rsidP="004D427B">
            <w:r w:rsidRPr="00105434">
              <w:t>2</w:t>
            </w:r>
          </w:p>
        </w:tc>
        <w:tc>
          <w:tcPr>
            <w:tcW w:w="8374" w:type="dxa"/>
          </w:tcPr>
          <w:p w14:paraId="5BF231CC" w14:textId="77777777" w:rsidR="004D427B" w:rsidRPr="004D427B" w:rsidRDefault="004D427B" w:rsidP="004D427B">
            <w:r w:rsidRPr="00105434">
              <w:t>Ocieplenie stropu pod nieogrzewanym poddaszem</w:t>
            </w:r>
          </w:p>
        </w:tc>
      </w:tr>
      <w:tr w:rsidR="004D427B" w:rsidRPr="003C750C" w14:paraId="7D445285" w14:textId="77777777" w:rsidTr="00821BD3">
        <w:tc>
          <w:tcPr>
            <w:tcW w:w="896" w:type="dxa"/>
          </w:tcPr>
          <w:p w14:paraId="7DD7A9C9" w14:textId="77777777" w:rsidR="004D427B" w:rsidRPr="004D427B" w:rsidRDefault="004D427B" w:rsidP="004D427B">
            <w:r w:rsidRPr="00105434">
              <w:t>3</w:t>
            </w:r>
          </w:p>
        </w:tc>
        <w:tc>
          <w:tcPr>
            <w:tcW w:w="8374" w:type="dxa"/>
          </w:tcPr>
          <w:p w14:paraId="55998306" w14:textId="77777777" w:rsidR="004D427B" w:rsidRPr="004D427B" w:rsidRDefault="004D427B" w:rsidP="004D427B">
            <w:r w:rsidRPr="00105434">
              <w:t>Ocieplenie stropu nad piwnicą</w:t>
            </w:r>
          </w:p>
        </w:tc>
      </w:tr>
      <w:tr w:rsidR="004D427B" w:rsidRPr="003C750C" w14:paraId="5BC0CA46" w14:textId="77777777" w:rsidTr="00821BD3">
        <w:tc>
          <w:tcPr>
            <w:tcW w:w="896" w:type="dxa"/>
          </w:tcPr>
          <w:p w14:paraId="411EB440" w14:textId="77777777" w:rsidR="004D427B" w:rsidRPr="004D427B" w:rsidRDefault="004D427B" w:rsidP="004D427B">
            <w:r w:rsidRPr="00105434">
              <w:t>4</w:t>
            </w:r>
          </w:p>
        </w:tc>
        <w:tc>
          <w:tcPr>
            <w:tcW w:w="8374" w:type="dxa"/>
          </w:tcPr>
          <w:p w14:paraId="51F5BF82" w14:textId="77777777" w:rsidR="004D427B" w:rsidRPr="004D427B" w:rsidRDefault="004D427B" w:rsidP="004D427B">
            <w:r w:rsidRPr="00105434">
              <w:t>Modernizacja lub wymiana stolarki okiennej</w:t>
            </w:r>
          </w:p>
        </w:tc>
      </w:tr>
      <w:tr w:rsidR="004D427B" w:rsidRPr="003C750C" w14:paraId="54313D34" w14:textId="77777777" w:rsidTr="00821BD3">
        <w:tc>
          <w:tcPr>
            <w:tcW w:w="896" w:type="dxa"/>
          </w:tcPr>
          <w:p w14:paraId="0E1CB66D" w14:textId="77777777" w:rsidR="004D427B" w:rsidRPr="004D427B" w:rsidRDefault="004D427B" w:rsidP="004D427B">
            <w:r w:rsidRPr="00105434">
              <w:t>5</w:t>
            </w:r>
          </w:p>
        </w:tc>
        <w:tc>
          <w:tcPr>
            <w:tcW w:w="8374" w:type="dxa"/>
          </w:tcPr>
          <w:p w14:paraId="7E8F22A6" w14:textId="77777777" w:rsidR="004D427B" w:rsidRPr="004D427B" w:rsidRDefault="004D427B" w:rsidP="004D427B">
            <w:r w:rsidRPr="00105434">
              <w:t>Modernizacja lub wymiana instalacji ciepłej wody użytkowej</w:t>
            </w:r>
          </w:p>
        </w:tc>
      </w:tr>
      <w:tr w:rsidR="004D427B" w:rsidRPr="003C750C" w14:paraId="2700A155" w14:textId="77777777" w:rsidTr="00821BD3">
        <w:tc>
          <w:tcPr>
            <w:tcW w:w="896" w:type="dxa"/>
          </w:tcPr>
          <w:p w14:paraId="0005DA52" w14:textId="77777777" w:rsidR="004D427B" w:rsidRPr="004D427B" w:rsidRDefault="004D427B" w:rsidP="004D427B">
            <w:r w:rsidRPr="00105434">
              <w:t>6</w:t>
            </w:r>
          </w:p>
        </w:tc>
        <w:tc>
          <w:tcPr>
            <w:tcW w:w="8374" w:type="dxa"/>
          </w:tcPr>
          <w:p w14:paraId="7B953AE0" w14:textId="77777777" w:rsidR="004D427B" w:rsidRPr="004D427B" w:rsidRDefault="004D427B" w:rsidP="004D427B">
            <w:r w:rsidRPr="00105434">
              <w:t>Wymiana opraw oświetleniowych lub źródeł światła</w:t>
            </w:r>
          </w:p>
        </w:tc>
      </w:tr>
      <w:tr w:rsidR="004D427B" w:rsidRPr="003C750C" w14:paraId="29E92D2F" w14:textId="77777777" w:rsidTr="00821BD3">
        <w:tc>
          <w:tcPr>
            <w:tcW w:w="896" w:type="dxa"/>
          </w:tcPr>
          <w:p w14:paraId="5E3A082D" w14:textId="77777777" w:rsidR="004D427B" w:rsidRPr="004D427B" w:rsidRDefault="004D427B" w:rsidP="004D427B">
            <w:r w:rsidRPr="00105434">
              <w:t>7</w:t>
            </w:r>
          </w:p>
        </w:tc>
        <w:tc>
          <w:tcPr>
            <w:tcW w:w="8374" w:type="dxa"/>
          </w:tcPr>
          <w:p w14:paraId="73589F6E" w14:textId="77777777" w:rsidR="004D427B" w:rsidRPr="004D427B" w:rsidRDefault="004D427B" w:rsidP="004D427B">
            <w:r w:rsidRPr="00105434">
              <w:t xml:space="preserve">Wymiana urządzeń przeznaczonych do użytku domowego </w:t>
            </w:r>
            <w:r w:rsidRPr="004D427B">
              <w:t>– pralki, suszarki, zmywarki do naczyń, chłodziarki, kuchenki, piekarniki</w:t>
            </w:r>
          </w:p>
        </w:tc>
      </w:tr>
      <w:tr w:rsidR="004D427B" w:rsidRPr="003C750C" w14:paraId="3F6D80CC" w14:textId="77777777" w:rsidTr="00821BD3">
        <w:tc>
          <w:tcPr>
            <w:tcW w:w="896" w:type="dxa"/>
          </w:tcPr>
          <w:p w14:paraId="71771F0A" w14:textId="77777777" w:rsidR="004D427B" w:rsidRPr="004D427B" w:rsidRDefault="004D427B" w:rsidP="004D427B">
            <w:r w:rsidRPr="00105434">
              <w:t>8</w:t>
            </w:r>
          </w:p>
        </w:tc>
        <w:tc>
          <w:tcPr>
            <w:tcW w:w="8374" w:type="dxa"/>
          </w:tcPr>
          <w:p w14:paraId="01EEC0F7" w14:textId="77777777" w:rsidR="004D427B" w:rsidRPr="004D427B" w:rsidRDefault="004D427B" w:rsidP="004D427B">
            <w:r w:rsidRPr="00105434">
              <w:t>Wymiana silników elektrycznych o mocy znamionowej od 0,75 kW do 375 kW</w:t>
            </w:r>
          </w:p>
        </w:tc>
      </w:tr>
      <w:tr w:rsidR="004D427B" w:rsidRPr="003C750C" w14:paraId="7EBB89E2" w14:textId="77777777" w:rsidTr="00821BD3">
        <w:tc>
          <w:tcPr>
            <w:tcW w:w="896" w:type="dxa"/>
          </w:tcPr>
          <w:p w14:paraId="66F2ED5F" w14:textId="77777777" w:rsidR="004D427B" w:rsidRPr="004D427B" w:rsidRDefault="004D427B" w:rsidP="004D427B">
            <w:r w:rsidRPr="00105434">
              <w:t>9</w:t>
            </w:r>
          </w:p>
        </w:tc>
        <w:tc>
          <w:tcPr>
            <w:tcW w:w="8374" w:type="dxa"/>
          </w:tcPr>
          <w:p w14:paraId="10894F80" w14:textId="77777777" w:rsidR="004D427B" w:rsidRPr="004D427B" w:rsidRDefault="004D427B" w:rsidP="004D427B">
            <w:r w:rsidRPr="00105434">
              <w:t>Wymiana pojazdów służących do transportu drogowego lub kolejowego</w:t>
            </w:r>
          </w:p>
        </w:tc>
      </w:tr>
    </w:tbl>
    <w:p w14:paraId="3C457EF5" w14:textId="77777777" w:rsidR="004D427B" w:rsidRDefault="004D427B" w:rsidP="00105434">
      <w:pPr>
        <w:pStyle w:val="PKTpunkt"/>
      </w:pPr>
    </w:p>
    <w:p w14:paraId="4473C77C" w14:textId="77777777" w:rsidR="00105434" w:rsidRDefault="00105434" w:rsidP="00105434">
      <w:pPr>
        <w:pStyle w:val="PKTpunkt"/>
      </w:pPr>
    </w:p>
    <w:p w14:paraId="28B8B82A" w14:textId="77777777" w:rsidR="00105434" w:rsidRDefault="00105434" w:rsidP="00105434">
      <w:pPr>
        <w:pStyle w:val="PKTpunkt"/>
        <w:sectPr w:rsidR="00105434" w:rsidSect="007369F2">
          <w:headerReference w:type="default" r:id="rId9"/>
          <w:footnotePr>
            <w:numRestart w:val="eachSect"/>
          </w:footnotePr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</w:p>
    <w:p w14:paraId="48BE2B9B" w14:textId="4BEC7ACE" w:rsidR="00637A10" w:rsidRDefault="00637A10" w:rsidP="00821BD3">
      <w:pPr>
        <w:pStyle w:val="OZNZACZNIKAwskazanienrzacznika"/>
      </w:pPr>
      <w:r>
        <w:lastRenderedPageBreak/>
        <w:t>Załącznik nr 2</w:t>
      </w:r>
    </w:p>
    <w:tbl>
      <w:tblPr>
        <w:tblStyle w:val="TABELA1zszablonu"/>
        <w:tblW w:w="15481" w:type="dxa"/>
        <w:tblLayout w:type="fixed"/>
        <w:tblLook w:val="00A0" w:firstRow="1" w:lastRow="0" w:firstColumn="1" w:lastColumn="0" w:noHBand="0" w:noVBand="0"/>
      </w:tblPr>
      <w:tblGrid>
        <w:gridCol w:w="2300"/>
        <w:gridCol w:w="6315"/>
        <w:gridCol w:w="6866"/>
      </w:tblGrid>
      <w:tr w:rsidR="004D427B" w:rsidRPr="003C750C" w14:paraId="1D34EB2E" w14:textId="77777777" w:rsidTr="002E4CB3">
        <w:trPr>
          <w:trHeight w:val="490"/>
        </w:trPr>
        <w:tc>
          <w:tcPr>
            <w:tcW w:w="15481" w:type="dxa"/>
            <w:gridSpan w:val="3"/>
          </w:tcPr>
          <w:p w14:paraId="64A15B35" w14:textId="77777777" w:rsidR="004D427B" w:rsidRPr="004D427B" w:rsidRDefault="004D427B" w:rsidP="004D427B">
            <w:pPr>
              <w:pStyle w:val="TEKSTwTABELIWYRODKOWANYtekstwyrodkowanywpoziomie"/>
            </w:pPr>
            <w:r w:rsidRPr="00105434">
              <w:tab/>
            </w:r>
            <w:r w:rsidRPr="00105434">
              <w:tab/>
              <w:t>Wymiana pojazdów służących do transportu drogowego lub kolejowego</w:t>
            </w:r>
          </w:p>
        </w:tc>
      </w:tr>
      <w:tr w:rsidR="004D427B" w:rsidRPr="003C750C" w14:paraId="0D15AE38" w14:textId="77777777" w:rsidTr="002E4CB3">
        <w:trPr>
          <w:trHeight w:val="1625"/>
        </w:trPr>
        <w:tc>
          <w:tcPr>
            <w:tcW w:w="2300" w:type="dxa"/>
          </w:tcPr>
          <w:p w14:paraId="122EFEE8" w14:textId="77777777" w:rsidR="004D427B" w:rsidRPr="004D427B" w:rsidRDefault="004D427B" w:rsidP="008C5855">
            <w:pPr>
              <w:pStyle w:val="TEKSTwTABELIWYRODKOWANYtekstwyrodkowanywpoziomie"/>
            </w:pPr>
            <w:r w:rsidRPr="00105434">
              <w:t xml:space="preserve">Wymiana pojazdów służących do transportu drogowego na nowe pojazdy w przypadku gdy są one </w:t>
            </w:r>
            <w:r w:rsidRPr="004D427B">
              <w:t xml:space="preserve">objęte zakresem Rozporządzenia Parlamentu Europejskiego i Rady (UE) 2019/631 z dnia 17 kwietnia 2019 r. określającego normy emisji CO2 dla nowych samochodów osobowych i dla nowych lekkich pojazdów użytkowych oraz uchylające rozporządzenia (WE) nr 443/2009 i (UE) nr 510/2011 lub Rozporządzenia Parlamentu Europejskiego i Rady (UE) 2019/1242 z dnia 20 czerwca </w:t>
            </w:r>
            <w:r w:rsidRPr="004D427B">
              <w:lastRenderedPageBreak/>
              <w:t>2019 r. określającego normy emisji CO2 dla nowych pojazdów ciężkich oraz zmieniającego rozporządzenia Parlamentu Europejskiego i Rady (WE) nr 595/2009 i (UE) 2018/956 oraz dyrektywę Rady 96/53/WE</w:t>
            </w:r>
          </w:p>
        </w:tc>
        <w:tc>
          <w:tcPr>
            <w:tcW w:w="6315" w:type="dxa"/>
          </w:tcPr>
          <w:p w14:paraId="2FF5D0CA" w14:textId="77777777" w:rsidR="004D427B" w:rsidRPr="004D427B" w:rsidRDefault="004D427B" w:rsidP="004D427B">
            <w:pPr>
              <w:pStyle w:val="TEKSTwTABELIWYRODKOWANYtekstwyrodkowanywpoziomie"/>
            </w:pPr>
            <w:r w:rsidRPr="00105434">
              <w:lastRenderedPageBreak/>
              <w:t>(11)</w:t>
            </w:r>
          </w:p>
          <w:p w14:paraId="0457AC4E" w14:textId="77777777" w:rsidR="004D427B" w:rsidRPr="004D427B" w:rsidRDefault="004D427B" w:rsidP="004D427B">
            <m:oMathPara>
              <m:oMath>
                <m:r>
                  <w:rPr>
                    <w:rFonts w:ascii="Cambria Math" w:hAnsi="Cambria Math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śr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L∙CV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den>
                        </m:f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3,6</m:t>
                    </m:r>
                  </m:den>
                </m:f>
              </m:oMath>
            </m:oMathPara>
          </w:p>
        </w:tc>
        <w:tc>
          <w:tcPr>
            <w:tcW w:w="6866" w:type="dxa"/>
          </w:tcPr>
          <w:p w14:paraId="3279D46C" w14:textId="34649BDF" w:rsidR="004D427B" w:rsidRPr="004D427B" w:rsidRDefault="004D427B" w:rsidP="00570BA4">
            <w:pPr>
              <w:pStyle w:val="LEGWMATFIZCHEMlegendawzorumatfizlubchem"/>
            </w:pPr>
            <m:oMath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Pr="004D427B">
              <w:t>–</w:t>
            </w:r>
            <w:r w:rsidR="009D1747" w:rsidRPr="00105434">
              <w:tab/>
            </w:r>
            <w:r w:rsidRPr="004D427B">
              <w:t>ilość zaoszczędzonej energii finalnej, wyrażonej w [kWh/rok],</w:t>
            </w:r>
          </w:p>
          <w:p w14:paraId="06D713E5" w14:textId="12BC84B8" w:rsidR="004D427B" w:rsidRPr="004D427B" w:rsidRDefault="00E81CA1" w:rsidP="00570BA4">
            <w:pPr>
              <w:pStyle w:val="LEGWMATFIZCHEMlegendawzorumatfizlubchem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śr</m:t>
                  </m:r>
                </m:sub>
              </m:sSub>
            </m:oMath>
            <w:r w:rsidR="004D427B" w:rsidRPr="004D427B">
              <w:t xml:space="preserve"> –</w:t>
            </w:r>
            <w:r w:rsidR="009D1747" w:rsidRPr="00105434">
              <w:tab/>
            </w:r>
            <w:r w:rsidR="004D427B" w:rsidRPr="004D427B">
              <w:t>średni przebieg dla danego typu pojazdu wynoszący 190 000 [km],</w:t>
            </w:r>
          </w:p>
          <w:p w14:paraId="0422F7CF" w14:textId="653C3DFD" w:rsidR="004D427B" w:rsidRPr="004D427B" w:rsidRDefault="00E81CA1" w:rsidP="00570BA4">
            <w:pPr>
              <w:pStyle w:val="LEGWMATFIZCHEMlegendawzorumatfizlubchem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oMath>
            <w:r w:rsidR="004D427B" w:rsidRPr="004D427B">
              <w:t xml:space="preserve"> –</w:t>
            </w:r>
            <w:r w:rsidR="009D1747" w:rsidRPr="00105434">
              <w:tab/>
            </w:r>
            <w:r w:rsidR="004D427B" w:rsidRPr="004D427B">
              <w:t>rzeczywisty przebieg danego pojazdu [km],</w:t>
            </w:r>
          </w:p>
          <w:p w14:paraId="4C897BD7" w14:textId="54C5CE65" w:rsidR="004D427B" w:rsidRPr="004D427B" w:rsidRDefault="00E81CA1" w:rsidP="00570BA4">
            <w:pPr>
              <w:pStyle w:val="LEGWMATFIZCHEMlegendawzorumatfizlubchem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4D427B" w:rsidRPr="004D427B">
              <w:t xml:space="preserve"> –</w:t>
            </w:r>
            <w:r w:rsidR="009D1747" w:rsidRPr="00105434">
              <w:tab/>
            </w:r>
            <w:r w:rsidR="004D427B" w:rsidRPr="004D427B">
              <w:t>jednostkowe zużycie energii przez wymieniany pojazd określone na podstawie rzeczywistego zużycia lub w przypadku gdy nie jest możliwe jego udokumentowanie określone na podstawie danych producenta lub na podstawie danych zawartych w tabeli nr 9 [MJ/km],</w:t>
            </w:r>
          </w:p>
          <w:p w14:paraId="5160D76C" w14:textId="691BC923" w:rsidR="004D427B" w:rsidRPr="004D427B" w:rsidRDefault="004D427B" w:rsidP="00570BA4">
            <w:pPr>
              <w:pStyle w:val="LEGWMATFIZCHEMlegendawzorumatfizlubchem"/>
            </w:pPr>
            <m:oMath>
              <m:r>
                <w:rPr>
                  <w:rFonts w:ascii="Cambria Math" w:hAnsi="Cambria Math"/>
                </w:rPr>
                <m:t>L</m:t>
              </m:r>
            </m:oMath>
            <w:r w:rsidR="004B6B10">
              <w:t xml:space="preserve"> </w:t>
            </w:r>
            <w:r w:rsidR="004B6B10" w:rsidRPr="004D427B">
              <w:t>–</w:t>
            </w:r>
            <w:r w:rsidR="004B6B10" w:rsidRPr="00105434">
              <w:tab/>
            </w:r>
            <w:r w:rsidRPr="004D427B">
              <w:t>limit (norma) emisji CO2 dla nowego pojazdu wynikająca z rozporządzenia 2019/631/UE [kgCO2/km],</w:t>
            </w:r>
          </w:p>
          <w:p w14:paraId="0B352ECB" w14:textId="6A0022B9" w:rsidR="004D427B" w:rsidRPr="004D427B" w:rsidRDefault="004D427B" w:rsidP="00570BA4">
            <w:pPr>
              <w:pStyle w:val="LEGWMATFIZCHEMlegendawzorumatfizlubchem"/>
            </w:pPr>
            <m:oMath>
              <m:r>
                <w:rPr>
                  <w:rFonts w:ascii="Cambria Math" w:hAnsi="Cambria Math"/>
                </w:rPr>
                <m:t>CV</m:t>
              </m:r>
            </m:oMath>
            <w:r w:rsidRPr="004D427B">
              <w:t xml:space="preserve"> –</w:t>
            </w:r>
            <w:r w:rsidR="004B6B10" w:rsidRPr="00105434">
              <w:tab/>
            </w:r>
            <w:r w:rsidRPr="004D427B">
              <w:t>obliczeniowa wartość opałowa (kaloryczna) paliwa będąca średnią ważoną wartości opałowych benzyny i oleju napędowego wynosząca 43,558 [MJ/kg],</w:t>
            </w:r>
          </w:p>
          <w:p w14:paraId="1250CC15" w14:textId="22411057" w:rsidR="004D427B" w:rsidRPr="004D427B" w:rsidRDefault="004D427B" w:rsidP="00570BA4">
            <w:pPr>
              <w:pStyle w:val="LEGWMATFIZCHEMlegendawzorumatfizlubchem"/>
            </w:pPr>
            <m:oMath>
              <m:r>
                <w:rPr>
                  <w:rFonts w:ascii="Cambria Math" w:hAnsi="Cambria Math"/>
                </w:rPr>
                <m:t>F</m:t>
              </m:r>
            </m:oMath>
            <w:r w:rsidR="004B6B10">
              <w:t xml:space="preserve"> </w:t>
            </w:r>
            <w:r w:rsidRPr="004D427B">
              <w:t>–</w:t>
            </w:r>
            <w:r w:rsidR="004B6B10" w:rsidRPr="00105434">
              <w:tab/>
            </w:r>
            <w:r w:rsidRPr="004D427B">
              <w:t>współczynnik przeliczeniowy emisji CO2 przypadającej na jednostkę masy spalonego paliwa przez pojazd nabyty, wynoszący 3,169 [kgCO2/</w:t>
            </w:r>
            <w:proofErr w:type="spellStart"/>
            <w:r w:rsidRPr="004D427B">
              <w:t>kgpal</w:t>
            </w:r>
            <w:proofErr w:type="spellEnd"/>
            <w:r w:rsidRPr="004D427B">
              <w:t>],</w:t>
            </w:r>
          </w:p>
          <w:p w14:paraId="2FF2B4FA" w14:textId="351C9A1F" w:rsidR="004D427B" w:rsidRPr="00105434" w:rsidRDefault="00E81CA1" w:rsidP="00570BA4">
            <w:pPr>
              <w:pStyle w:val="LEGWMATFIZCHEMlegendawzorumatfizlubchem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U</m:t>
                  </m:r>
                </m:sub>
              </m:sSub>
            </m:oMath>
            <w:r w:rsidR="004D427B" w:rsidRPr="004D427B">
              <w:t xml:space="preserve"> –</w:t>
            </w:r>
            <w:r w:rsidR="004B6B10" w:rsidRPr="00105434">
              <w:tab/>
            </w:r>
            <w:r w:rsidR="004D427B" w:rsidRPr="004D427B">
              <w:t>okres pozostały do końca cyklu życia wymienianego pojazdu, liczony jako iloraz przebiegu pozostałego do zakończenia średniego cyklu życia wymienianego pojazdu [km] i średniorocznego przebiegu pojazdu wynoszącego 8000 [km].</w:t>
            </w:r>
          </w:p>
        </w:tc>
      </w:tr>
      <w:tr w:rsidR="004D427B" w:rsidRPr="003C750C" w14:paraId="264C366B" w14:textId="77777777" w:rsidTr="00570BA4">
        <w:trPr>
          <w:trHeight w:val="713"/>
        </w:trPr>
        <w:tc>
          <w:tcPr>
            <w:tcW w:w="2300" w:type="dxa"/>
          </w:tcPr>
          <w:p w14:paraId="13C95431" w14:textId="77777777" w:rsidR="004D427B" w:rsidRPr="004D427B" w:rsidRDefault="004D427B" w:rsidP="008C5855">
            <w:pPr>
              <w:pStyle w:val="TEKSTwTABELIWYRODKOWANYtekstwyrodkowanywpoziomie"/>
            </w:pPr>
            <w:r w:rsidRPr="00105434">
              <w:t xml:space="preserve">Wymiana pojazdów służących do transportu drogowego innych niż wymienione w </w:t>
            </w:r>
            <w:r w:rsidRPr="004D427B">
              <w:t>Rozporządzeniu Parlamentu Europejskiego i Rady (UE) 2019/631 lub Rozporządzeniu Parlamentu Europejskiego i Rady (UE) 2019/1242 lub pojazdów służących do transportu kolejowego</w:t>
            </w:r>
          </w:p>
        </w:tc>
        <w:tc>
          <w:tcPr>
            <w:tcW w:w="6315" w:type="dxa"/>
          </w:tcPr>
          <w:p w14:paraId="2DAF97F8" w14:textId="77777777" w:rsidR="004D427B" w:rsidRPr="004D427B" w:rsidRDefault="004D427B" w:rsidP="004D427B">
            <w:pPr>
              <w:pStyle w:val="TEKSTwTABELIWYRODKOWANYtekstwyrodkowanywpoziomie"/>
            </w:pPr>
            <w:r w:rsidRPr="00105434">
              <w:t>(12)</w:t>
            </w:r>
          </w:p>
          <w:p w14:paraId="4465D977" w14:textId="77777777" w:rsidR="004D427B" w:rsidRPr="004D427B" w:rsidRDefault="004D427B" w:rsidP="004D427B">
            <m:oMathPara>
              <m:oMath>
                <m:r>
                  <w:rPr>
                    <w:rFonts w:ascii="Cambria Math" w:hAnsi="Cambria Math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śr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śr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LCA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3,6</m:t>
                    </m:r>
                  </m:den>
                </m:f>
              </m:oMath>
            </m:oMathPara>
          </w:p>
        </w:tc>
        <w:tc>
          <w:tcPr>
            <w:tcW w:w="6866" w:type="dxa"/>
          </w:tcPr>
          <w:p w14:paraId="125471F1" w14:textId="3CEECC57" w:rsidR="004D427B" w:rsidRPr="004D427B" w:rsidRDefault="004D427B" w:rsidP="00570BA4">
            <w:pPr>
              <w:pStyle w:val="LEGWMATFIZCHEMlegendawzorumatfizlubchem"/>
            </w:pPr>
            <m:oMath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="004B6B10">
              <w:t xml:space="preserve"> </w:t>
            </w:r>
            <w:r w:rsidR="004B6B10" w:rsidRPr="004D427B">
              <w:t>–</w:t>
            </w:r>
            <w:r w:rsidR="004B6B10" w:rsidRPr="00105434">
              <w:tab/>
            </w:r>
            <w:r w:rsidRPr="004D427B">
              <w:t>ilość zaoszczędzonej energii finalnej, wyrażonej w [kWh/rok],</w:t>
            </w:r>
          </w:p>
          <w:p w14:paraId="4CA3D782" w14:textId="3021E84B" w:rsidR="004D427B" w:rsidRPr="004D427B" w:rsidRDefault="00E81CA1" w:rsidP="00570BA4">
            <w:pPr>
              <w:pStyle w:val="LEGWMATFIZCHEMlegendawzorumatfizlubchem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śr</m:t>
                  </m:r>
                </m:sub>
              </m:sSub>
            </m:oMath>
            <w:r w:rsidR="004D427B" w:rsidRPr="004D427B">
              <w:t xml:space="preserve"> –</w:t>
            </w:r>
            <w:r w:rsidR="004B6B10" w:rsidRPr="00105434">
              <w:tab/>
            </w:r>
            <w:r w:rsidR="004D427B" w:rsidRPr="004D427B">
              <w:t>średni przebieg dla danego typu pojazdu określony na podstawie danych zawartych w tabeli nr 10 [km],</w:t>
            </w:r>
          </w:p>
          <w:p w14:paraId="448F6F77" w14:textId="1FD9520D" w:rsidR="004D427B" w:rsidRPr="004D427B" w:rsidRDefault="00E81CA1" w:rsidP="00570BA4">
            <w:pPr>
              <w:pStyle w:val="LEGWMATFIZCHEMlegendawzorumatfizlubchem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oMath>
            <w:r w:rsidR="004D427B" w:rsidRPr="004D427B">
              <w:t xml:space="preserve"> –</w:t>
            </w:r>
            <w:r w:rsidR="004B6B10" w:rsidRPr="00105434">
              <w:tab/>
            </w:r>
            <w:r w:rsidR="004D427B" w:rsidRPr="004D427B">
              <w:t>rzeczywisty przebieg danego pojazdu [km],</w:t>
            </w:r>
          </w:p>
          <w:p w14:paraId="4DB40EE2" w14:textId="438BDD43" w:rsidR="004D427B" w:rsidRPr="004D427B" w:rsidRDefault="00E81CA1" w:rsidP="00570BA4">
            <w:pPr>
              <w:pStyle w:val="LEGWMATFIZCHEMlegendawzorumatfizlubchem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4D427B" w:rsidRPr="004D427B">
              <w:t xml:space="preserve"> –</w:t>
            </w:r>
            <w:r w:rsidR="004B6B10" w:rsidRPr="00105434">
              <w:tab/>
            </w:r>
            <w:r w:rsidR="004D427B" w:rsidRPr="004D427B">
              <w:t>jednostkowe zużycie energii przez wymieniany pojazd określone na podstawie rzeczywistego zużycia lub w przypadku gdy nie jest możliwe jego udokumentowanie określone na podstawie danych producenta lub na podstawie danych zawartych w tabeli nr 9 [MJ/km],</w:t>
            </w:r>
          </w:p>
          <w:p w14:paraId="0FABC819" w14:textId="2DF8BCD1" w:rsidR="004D427B" w:rsidRPr="004D427B" w:rsidRDefault="00E81CA1" w:rsidP="00570BA4">
            <w:pPr>
              <w:pStyle w:val="LEGWMATFIZCHEMlegendawzorumatfizlubchem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4D427B" w:rsidRPr="004D427B">
              <w:t xml:space="preserve"> –</w:t>
            </w:r>
            <w:r w:rsidR="004B6B10" w:rsidRPr="00105434">
              <w:tab/>
            </w:r>
            <w:r w:rsidR="004D427B" w:rsidRPr="004D427B">
              <w:t>jednostkowe zużycie energii przez pojazd nabyty określone na podstawie rzeczywistego zużycia lub w przypadku gdy nie jest możliwe jego udokumentowanie określone na podstawie danych producenta lub na podstawie danych zawartych w tabeli nr 9 [MJ/km],</w:t>
            </w:r>
          </w:p>
          <w:p w14:paraId="4C28324F" w14:textId="3E417A2C" w:rsidR="004D427B" w:rsidRDefault="00E81CA1" w:rsidP="00570BA4">
            <w:pPr>
              <w:pStyle w:val="LEGWMATFIZCHEMlegendawzorumatfizlubchem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śr</m:t>
                  </m:r>
                </m:sub>
              </m:sSub>
            </m:oMath>
            <w:r w:rsidR="004B6B10">
              <w:t xml:space="preserve"> </w:t>
            </w:r>
            <w:r w:rsidR="004D427B" w:rsidRPr="004D427B">
              <w:t>–</w:t>
            </w:r>
            <w:r w:rsidR="004B6B10" w:rsidRPr="00105434">
              <w:tab/>
            </w:r>
            <w:r w:rsidR="004D427B" w:rsidRPr="004D427B">
              <w:t>jednostkowe zużycie energii przez standardowy pojazd należący do tej samej, pod względem wielkości i napędu, klasy pojazdów [MJ/km],</w:t>
            </w:r>
          </w:p>
          <w:p w14:paraId="5511C8AB" w14:textId="70F8C3D2" w:rsidR="004D427B" w:rsidRPr="00105434" w:rsidRDefault="00E81CA1" w:rsidP="00821BD3">
            <w:pPr>
              <w:pStyle w:val="LEGWMATFIZCHEMlegendawzorumatfizlubchem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LCA</m:t>
                  </m:r>
                </m:sub>
              </m:sSub>
            </m:oMath>
            <w:r w:rsidR="004D427B" w:rsidRPr="004D427B">
              <w:t xml:space="preserve"> –</w:t>
            </w:r>
            <w:r w:rsidR="004B6B10" w:rsidRPr="00105434">
              <w:tab/>
            </w:r>
            <w:r w:rsidR="004D427B" w:rsidRPr="004D427B">
              <w:t>średnia długość cyklu życia danego pojazdu określona na podstawie danych zawartych w tabeli nr 11 [w latach],</w:t>
            </w:r>
          </w:p>
        </w:tc>
      </w:tr>
    </w:tbl>
    <w:p w14:paraId="2DAECBA3" w14:textId="77777777" w:rsidR="00450D17" w:rsidRDefault="00450D17" w:rsidP="00570BA4">
      <w:pPr>
        <w:pStyle w:val="PKTpunkt"/>
        <w:ind w:left="0" w:firstLine="0"/>
      </w:pPr>
    </w:p>
    <w:p w14:paraId="25C6EC48" w14:textId="77777777" w:rsidR="00450D17" w:rsidRDefault="00450D17" w:rsidP="00450D17">
      <w:pPr>
        <w:pStyle w:val="PKTpunkt"/>
        <w:sectPr w:rsidR="00450D17" w:rsidSect="00570BA4">
          <w:footnotePr>
            <w:numRestart w:val="eachSect"/>
          </w:footnotePr>
          <w:pgSz w:w="16838" w:h="11906" w:orient="landscape"/>
          <w:pgMar w:top="1418" w:right="1560" w:bottom="1434" w:left="1560" w:header="709" w:footer="709" w:gutter="0"/>
          <w:cols w:space="708"/>
          <w:titlePg/>
          <w:docGrid w:linePitch="326"/>
        </w:sectPr>
      </w:pPr>
    </w:p>
    <w:p w14:paraId="62342C99" w14:textId="77777777" w:rsidR="00450D17" w:rsidRDefault="00570BA4" w:rsidP="00570BA4">
      <w:pPr>
        <w:pStyle w:val="OZNZACZNIKAwskazanienrzacznika"/>
      </w:pPr>
      <w:bookmarkStart w:id="4" w:name="_Hlk88470148"/>
      <w:r>
        <w:lastRenderedPageBreak/>
        <w:t>Załącznik nr 3</w:t>
      </w:r>
    </w:p>
    <w:bookmarkEnd w:id="4"/>
    <w:p w14:paraId="467E26B6" w14:textId="77777777" w:rsidR="00570BA4" w:rsidRPr="00105434" w:rsidRDefault="00570BA4" w:rsidP="00570BA4">
      <w:pPr>
        <w:pStyle w:val="PKTpunkt"/>
      </w:pPr>
      <w:r w:rsidRPr="00105434">
        <w:t>Tabela nr 9. Wskaźniki zużycia energii w zależności od typu pojazdu</w:t>
      </w:r>
    </w:p>
    <w:tbl>
      <w:tblPr>
        <w:tblStyle w:val="TABELA1zszablonu"/>
        <w:tblW w:w="5000" w:type="pct"/>
        <w:tblLayout w:type="fixed"/>
        <w:tblLook w:val="04A0" w:firstRow="1" w:lastRow="0" w:firstColumn="1" w:lastColumn="0" w:noHBand="0" w:noVBand="1"/>
      </w:tblPr>
      <w:tblGrid>
        <w:gridCol w:w="1955"/>
        <w:gridCol w:w="3492"/>
        <w:gridCol w:w="2386"/>
        <w:gridCol w:w="1191"/>
      </w:tblGrid>
      <w:tr w:rsidR="00570BA4" w:rsidRPr="0069505F" w14:paraId="40B792D7" w14:textId="77777777" w:rsidTr="002E4CB3">
        <w:trPr>
          <w:trHeight w:val="1030"/>
        </w:trPr>
        <w:tc>
          <w:tcPr>
            <w:tcW w:w="1083" w:type="pct"/>
            <w:noWrap/>
            <w:hideMark/>
          </w:tcPr>
          <w:p w14:paraId="70A00076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pojazdów</w:t>
            </w:r>
          </w:p>
        </w:tc>
        <w:tc>
          <w:tcPr>
            <w:tcW w:w="1935" w:type="pct"/>
            <w:noWrap/>
            <w:hideMark/>
          </w:tcPr>
          <w:p w14:paraId="453EA1BB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Podkategoria pojazdów</w:t>
            </w:r>
          </w:p>
        </w:tc>
        <w:tc>
          <w:tcPr>
            <w:tcW w:w="1322" w:type="pct"/>
            <w:noWrap/>
            <w:hideMark/>
          </w:tcPr>
          <w:p w14:paraId="0ECF6E4F" w14:textId="77777777" w:rsidR="00570BA4" w:rsidRPr="00570BA4" w:rsidRDefault="00570BA4" w:rsidP="00570BA4">
            <w:pPr>
              <w:pStyle w:val="TEKSTwTABELIWYRODKOWANYtekstwyrodkowanywpoziomie"/>
              <w:rPr>
                <w:highlight w:val="yellow"/>
              </w:rPr>
            </w:pPr>
            <w:r>
              <w:t>Technologia</w:t>
            </w:r>
          </w:p>
          <w:p w14:paraId="46C78B57" w14:textId="77777777" w:rsidR="00570BA4" w:rsidRPr="00105434" w:rsidRDefault="00570BA4" w:rsidP="00570BA4">
            <w:pPr>
              <w:pStyle w:val="TEKSTwTABELIWYRODKOWANYtekstwyrodkowanywpoziomie"/>
            </w:pPr>
          </w:p>
        </w:tc>
        <w:tc>
          <w:tcPr>
            <w:tcW w:w="660" w:type="pct"/>
            <w:hideMark/>
          </w:tcPr>
          <w:p w14:paraId="70395CBF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Wskaźnik zużycia energii</w:t>
            </w:r>
          </w:p>
          <w:p w14:paraId="63A80AEA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[MJ/km]</w:t>
            </w:r>
          </w:p>
        </w:tc>
      </w:tr>
      <w:tr w:rsidR="00570BA4" w:rsidRPr="0069505F" w14:paraId="072B9E6B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5D892828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samochody osobowe</w:t>
            </w:r>
          </w:p>
        </w:tc>
        <w:tc>
          <w:tcPr>
            <w:tcW w:w="1935" w:type="pct"/>
            <w:noWrap/>
            <w:hideMark/>
          </w:tcPr>
          <w:p w14:paraId="71D66F81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benzynowe mini</w:t>
            </w:r>
          </w:p>
        </w:tc>
        <w:tc>
          <w:tcPr>
            <w:tcW w:w="1322" w:type="pct"/>
            <w:noWrap/>
            <w:hideMark/>
          </w:tcPr>
          <w:p w14:paraId="4A80940F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4 i późniejsze</w:t>
            </w:r>
          </w:p>
        </w:tc>
        <w:tc>
          <w:tcPr>
            <w:tcW w:w="660" w:type="pct"/>
            <w:noWrap/>
            <w:hideMark/>
          </w:tcPr>
          <w:p w14:paraId="41BCE861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2,14</w:t>
            </w:r>
          </w:p>
        </w:tc>
      </w:tr>
      <w:tr w:rsidR="00570BA4" w:rsidRPr="0069505F" w14:paraId="2284BB34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2F6925CB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samochody osobowe</w:t>
            </w:r>
          </w:p>
        </w:tc>
        <w:tc>
          <w:tcPr>
            <w:tcW w:w="1935" w:type="pct"/>
            <w:noWrap/>
            <w:hideMark/>
          </w:tcPr>
          <w:p w14:paraId="6FDBBC0D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benzynowe małe</w:t>
            </w:r>
          </w:p>
        </w:tc>
        <w:tc>
          <w:tcPr>
            <w:tcW w:w="1322" w:type="pct"/>
            <w:noWrap/>
            <w:hideMark/>
          </w:tcPr>
          <w:p w14:paraId="5BCA40B9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 xml:space="preserve">PRE-ECE to open </w:t>
            </w:r>
            <w:proofErr w:type="spellStart"/>
            <w:r w:rsidRPr="00105434">
              <w:t>loop</w:t>
            </w:r>
            <w:proofErr w:type="spellEnd"/>
          </w:p>
        </w:tc>
        <w:tc>
          <w:tcPr>
            <w:tcW w:w="660" w:type="pct"/>
            <w:noWrap/>
            <w:hideMark/>
          </w:tcPr>
          <w:p w14:paraId="7921D8BD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2,85</w:t>
            </w:r>
          </w:p>
        </w:tc>
      </w:tr>
      <w:tr w:rsidR="00570BA4" w:rsidRPr="0069505F" w14:paraId="48411EE5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590E8D22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samochody osobowe</w:t>
            </w:r>
          </w:p>
        </w:tc>
        <w:tc>
          <w:tcPr>
            <w:tcW w:w="1935" w:type="pct"/>
            <w:noWrap/>
            <w:hideMark/>
          </w:tcPr>
          <w:p w14:paraId="1E4949FD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benzynowe małe</w:t>
            </w:r>
          </w:p>
        </w:tc>
        <w:tc>
          <w:tcPr>
            <w:tcW w:w="1322" w:type="pct"/>
            <w:noWrap/>
            <w:hideMark/>
          </w:tcPr>
          <w:p w14:paraId="7CA83351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1 i późniejsze</w:t>
            </w:r>
          </w:p>
        </w:tc>
        <w:tc>
          <w:tcPr>
            <w:tcW w:w="660" w:type="pct"/>
            <w:noWrap/>
            <w:hideMark/>
          </w:tcPr>
          <w:p w14:paraId="5BC5A468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2,45</w:t>
            </w:r>
          </w:p>
        </w:tc>
      </w:tr>
      <w:tr w:rsidR="00570BA4" w:rsidRPr="0069505F" w14:paraId="46AE3526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054B0D5D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samochody osobowe</w:t>
            </w:r>
          </w:p>
        </w:tc>
        <w:tc>
          <w:tcPr>
            <w:tcW w:w="1935" w:type="pct"/>
            <w:noWrap/>
            <w:hideMark/>
          </w:tcPr>
          <w:p w14:paraId="2B4C57EB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benzynowe średnie</w:t>
            </w:r>
          </w:p>
        </w:tc>
        <w:tc>
          <w:tcPr>
            <w:tcW w:w="1322" w:type="pct"/>
            <w:noWrap/>
            <w:hideMark/>
          </w:tcPr>
          <w:p w14:paraId="2AD58F84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 xml:space="preserve">PRE-ECE to open </w:t>
            </w:r>
            <w:proofErr w:type="spellStart"/>
            <w:r w:rsidRPr="00105434">
              <w:t>loop</w:t>
            </w:r>
            <w:proofErr w:type="spellEnd"/>
          </w:p>
        </w:tc>
        <w:tc>
          <w:tcPr>
            <w:tcW w:w="660" w:type="pct"/>
            <w:noWrap/>
            <w:hideMark/>
          </w:tcPr>
          <w:p w14:paraId="5DEF76D2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3,37</w:t>
            </w:r>
          </w:p>
        </w:tc>
      </w:tr>
      <w:tr w:rsidR="00570BA4" w:rsidRPr="0069505F" w14:paraId="4228424A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2439CAFF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samochody osobowe</w:t>
            </w:r>
          </w:p>
        </w:tc>
        <w:tc>
          <w:tcPr>
            <w:tcW w:w="1935" w:type="pct"/>
            <w:noWrap/>
            <w:hideMark/>
          </w:tcPr>
          <w:p w14:paraId="582D6A75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benzynowe średnie</w:t>
            </w:r>
          </w:p>
        </w:tc>
        <w:tc>
          <w:tcPr>
            <w:tcW w:w="1322" w:type="pct"/>
            <w:noWrap/>
            <w:hideMark/>
          </w:tcPr>
          <w:p w14:paraId="6159F1D4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 xml:space="preserve">Euro 1 i </w:t>
            </w:r>
            <w:r w:rsidRPr="00570BA4">
              <w:t>późniejsze</w:t>
            </w:r>
          </w:p>
        </w:tc>
        <w:tc>
          <w:tcPr>
            <w:tcW w:w="660" w:type="pct"/>
            <w:noWrap/>
            <w:hideMark/>
          </w:tcPr>
          <w:p w14:paraId="529F3E5C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2,89</w:t>
            </w:r>
          </w:p>
        </w:tc>
      </w:tr>
      <w:tr w:rsidR="00570BA4" w:rsidRPr="0069505F" w14:paraId="1ECCA6DC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1D83D5D2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samochody osobowe</w:t>
            </w:r>
          </w:p>
        </w:tc>
        <w:tc>
          <w:tcPr>
            <w:tcW w:w="1935" w:type="pct"/>
            <w:noWrap/>
            <w:hideMark/>
          </w:tcPr>
          <w:p w14:paraId="65AE90F5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benzynowe duże SUV</w:t>
            </w:r>
          </w:p>
        </w:tc>
        <w:tc>
          <w:tcPr>
            <w:tcW w:w="1322" w:type="pct"/>
            <w:noWrap/>
            <w:hideMark/>
          </w:tcPr>
          <w:p w14:paraId="74FC05A1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 xml:space="preserve">PRE-ECE to open </w:t>
            </w:r>
            <w:proofErr w:type="spellStart"/>
            <w:r w:rsidRPr="00105434">
              <w:t>loop</w:t>
            </w:r>
            <w:proofErr w:type="spellEnd"/>
          </w:p>
        </w:tc>
        <w:tc>
          <w:tcPr>
            <w:tcW w:w="660" w:type="pct"/>
            <w:noWrap/>
            <w:hideMark/>
          </w:tcPr>
          <w:p w14:paraId="0370F0A5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4,16</w:t>
            </w:r>
          </w:p>
        </w:tc>
      </w:tr>
      <w:tr w:rsidR="00570BA4" w:rsidRPr="0069505F" w14:paraId="70733346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2C2A1340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samochody osobowe</w:t>
            </w:r>
          </w:p>
        </w:tc>
        <w:tc>
          <w:tcPr>
            <w:tcW w:w="1935" w:type="pct"/>
            <w:noWrap/>
            <w:hideMark/>
          </w:tcPr>
          <w:p w14:paraId="6531431B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benzynowe duże SUV</w:t>
            </w:r>
          </w:p>
        </w:tc>
        <w:tc>
          <w:tcPr>
            <w:tcW w:w="1322" w:type="pct"/>
            <w:noWrap/>
            <w:hideMark/>
          </w:tcPr>
          <w:p w14:paraId="2DE8603D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1 i późniejsze</w:t>
            </w:r>
          </w:p>
        </w:tc>
        <w:tc>
          <w:tcPr>
            <w:tcW w:w="660" w:type="pct"/>
            <w:noWrap/>
            <w:hideMark/>
          </w:tcPr>
          <w:p w14:paraId="46C0E08C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3,76</w:t>
            </w:r>
          </w:p>
        </w:tc>
      </w:tr>
      <w:tr w:rsidR="00570BA4" w:rsidRPr="0069505F" w14:paraId="7B168BB2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0E82EB29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samochody osobowe</w:t>
            </w:r>
          </w:p>
        </w:tc>
        <w:tc>
          <w:tcPr>
            <w:tcW w:w="1935" w:type="pct"/>
            <w:noWrap/>
            <w:hideMark/>
          </w:tcPr>
          <w:p w14:paraId="4F843892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diesel małe</w:t>
            </w:r>
          </w:p>
        </w:tc>
        <w:tc>
          <w:tcPr>
            <w:tcW w:w="1322" w:type="pct"/>
            <w:noWrap/>
            <w:hideMark/>
          </w:tcPr>
          <w:p w14:paraId="1E7B071E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4 i późniejsze</w:t>
            </w:r>
          </w:p>
        </w:tc>
        <w:tc>
          <w:tcPr>
            <w:tcW w:w="660" w:type="pct"/>
            <w:noWrap/>
            <w:hideMark/>
          </w:tcPr>
          <w:p w14:paraId="70CCC7B6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1,62</w:t>
            </w:r>
          </w:p>
        </w:tc>
      </w:tr>
      <w:tr w:rsidR="00570BA4" w:rsidRPr="0069505F" w14:paraId="490B6C23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2AFA3229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samochody osobowe</w:t>
            </w:r>
          </w:p>
        </w:tc>
        <w:tc>
          <w:tcPr>
            <w:tcW w:w="1935" w:type="pct"/>
            <w:noWrap/>
            <w:hideMark/>
          </w:tcPr>
          <w:p w14:paraId="5B632A88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diesel średnie</w:t>
            </w:r>
          </w:p>
        </w:tc>
        <w:tc>
          <w:tcPr>
            <w:tcW w:w="1322" w:type="pct"/>
            <w:noWrap/>
            <w:hideMark/>
          </w:tcPr>
          <w:p w14:paraId="066382DE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konwencjonalne</w:t>
            </w:r>
          </w:p>
        </w:tc>
        <w:tc>
          <w:tcPr>
            <w:tcW w:w="660" w:type="pct"/>
            <w:noWrap/>
            <w:hideMark/>
          </w:tcPr>
          <w:p w14:paraId="32A041DC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2,69</w:t>
            </w:r>
          </w:p>
        </w:tc>
      </w:tr>
      <w:tr w:rsidR="00570BA4" w:rsidRPr="0069505F" w14:paraId="47DA6DAD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56406509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samochody osobowe</w:t>
            </w:r>
          </w:p>
        </w:tc>
        <w:tc>
          <w:tcPr>
            <w:tcW w:w="1935" w:type="pct"/>
            <w:noWrap/>
            <w:hideMark/>
          </w:tcPr>
          <w:p w14:paraId="7F7100CD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diesel średnie</w:t>
            </w:r>
          </w:p>
        </w:tc>
        <w:tc>
          <w:tcPr>
            <w:tcW w:w="1322" w:type="pct"/>
            <w:noWrap/>
            <w:hideMark/>
          </w:tcPr>
          <w:p w14:paraId="2D38C650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1 i późniejsze</w:t>
            </w:r>
          </w:p>
        </w:tc>
        <w:tc>
          <w:tcPr>
            <w:tcW w:w="660" w:type="pct"/>
            <w:noWrap/>
            <w:hideMark/>
          </w:tcPr>
          <w:p w14:paraId="761CBF0E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2,35</w:t>
            </w:r>
          </w:p>
        </w:tc>
      </w:tr>
      <w:tr w:rsidR="00570BA4" w:rsidRPr="0069505F" w14:paraId="744E66C1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21AE6DC6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samochody osobowe</w:t>
            </w:r>
          </w:p>
        </w:tc>
        <w:tc>
          <w:tcPr>
            <w:tcW w:w="1935" w:type="pct"/>
            <w:noWrap/>
            <w:hideMark/>
          </w:tcPr>
          <w:p w14:paraId="3BB61C4C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diesel duże SUV</w:t>
            </w:r>
          </w:p>
        </w:tc>
        <w:tc>
          <w:tcPr>
            <w:tcW w:w="1322" w:type="pct"/>
            <w:noWrap/>
            <w:hideMark/>
          </w:tcPr>
          <w:p w14:paraId="54686181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konwencjonalne</w:t>
            </w:r>
          </w:p>
        </w:tc>
        <w:tc>
          <w:tcPr>
            <w:tcW w:w="660" w:type="pct"/>
            <w:noWrap/>
            <w:hideMark/>
          </w:tcPr>
          <w:p w14:paraId="43718028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3,20</w:t>
            </w:r>
          </w:p>
        </w:tc>
      </w:tr>
      <w:tr w:rsidR="00570BA4" w:rsidRPr="0069505F" w14:paraId="03EFA129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7EC8ED59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samochody osobowe</w:t>
            </w:r>
          </w:p>
        </w:tc>
        <w:tc>
          <w:tcPr>
            <w:tcW w:w="1935" w:type="pct"/>
            <w:noWrap/>
            <w:hideMark/>
          </w:tcPr>
          <w:p w14:paraId="7D467D9E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diesel duże SUV</w:t>
            </w:r>
          </w:p>
        </w:tc>
        <w:tc>
          <w:tcPr>
            <w:tcW w:w="1322" w:type="pct"/>
            <w:noWrap/>
            <w:hideMark/>
          </w:tcPr>
          <w:p w14:paraId="144E1435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1 i późniejsze</w:t>
            </w:r>
          </w:p>
        </w:tc>
        <w:tc>
          <w:tcPr>
            <w:tcW w:w="660" w:type="pct"/>
            <w:noWrap/>
            <w:hideMark/>
          </w:tcPr>
          <w:p w14:paraId="1269E7D5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3,12</w:t>
            </w:r>
          </w:p>
        </w:tc>
      </w:tr>
      <w:tr w:rsidR="00570BA4" w:rsidRPr="0069505F" w14:paraId="2D70B0CE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1B066003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samochody osobowe</w:t>
            </w:r>
          </w:p>
        </w:tc>
        <w:tc>
          <w:tcPr>
            <w:tcW w:w="1935" w:type="pct"/>
            <w:noWrap/>
            <w:hideMark/>
          </w:tcPr>
          <w:p w14:paraId="5E9E1CD1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LPG</w:t>
            </w:r>
          </w:p>
        </w:tc>
        <w:tc>
          <w:tcPr>
            <w:tcW w:w="1322" w:type="pct"/>
            <w:noWrap/>
            <w:hideMark/>
          </w:tcPr>
          <w:p w14:paraId="72C473EF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konwencjonalne</w:t>
            </w:r>
          </w:p>
        </w:tc>
        <w:tc>
          <w:tcPr>
            <w:tcW w:w="660" w:type="pct"/>
            <w:noWrap/>
            <w:hideMark/>
          </w:tcPr>
          <w:p w14:paraId="75A09B3F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2,75</w:t>
            </w:r>
          </w:p>
        </w:tc>
      </w:tr>
      <w:tr w:rsidR="00570BA4" w:rsidRPr="0069505F" w14:paraId="779434C0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573B9E7C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 xml:space="preserve">samochody </w:t>
            </w:r>
            <w:r w:rsidRPr="00570BA4">
              <w:t>osobowe</w:t>
            </w:r>
          </w:p>
        </w:tc>
        <w:tc>
          <w:tcPr>
            <w:tcW w:w="1935" w:type="pct"/>
            <w:noWrap/>
            <w:hideMark/>
          </w:tcPr>
          <w:p w14:paraId="253BD81C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LPG</w:t>
            </w:r>
          </w:p>
        </w:tc>
        <w:tc>
          <w:tcPr>
            <w:tcW w:w="1322" w:type="pct"/>
            <w:noWrap/>
            <w:hideMark/>
          </w:tcPr>
          <w:p w14:paraId="03DE7494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1 i późniejsze</w:t>
            </w:r>
          </w:p>
        </w:tc>
        <w:tc>
          <w:tcPr>
            <w:tcW w:w="660" w:type="pct"/>
            <w:noWrap/>
            <w:hideMark/>
          </w:tcPr>
          <w:p w14:paraId="082B1368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2,65</w:t>
            </w:r>
          </w:p>
        </w:tc>
      </w:tr>
      <w:tr w:rsidR="00570BA4" w:rsidRPr="0069505F" w14:paraId="726968E5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0BB89DE4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samochody osobowe</w:t>
            </w:r>
          </w:p>
        </w:tc>
        <w:tc>
          <w:tcPr>
            <w:tcW w:w="1935" w:type="pct"/>
            <w:noWrap/>
            <w:hideMark/>
          </w:tcPr>
          <w:p w14:paraId="448DFC49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dwusuwowe</w:t>
            </w:r>
          </w:p>
        </w:tc>
        <w:tc>
          <w:tcPr>
            <w:tcW w:w="1322" w:type="pct"/>
            <w:noWrap/>
            <w:hideMark/>
          </w:tcPr>
          <w:p w14:paraId="161448CD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konwencjonalne</w:t>
            </w:r>
          </w:p>
        </w:tc>
        <w:tc>
          <w:tcPr>
            <w:tcW w:w="660" w:type="pct"/>
            <w:noWrap/>
            <w:hideMark/>
          </w:tcPr>
          <w:p w14:paraId="23399081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3,59</w:t>
            </w:r>
          </w:p>
        </w:tc>
      </w:tr>
      <w:tr w:rsidR="00570BA4" w:rsidRPr="0069505F" w14:paraId="4B78B413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50EA16B2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samochody osobowe</w:t>
            </w:r>
          </w:p>
        </w:tc>
        <w:tc>
          <w:tcPr>
            <w:tcW w:w="1935" w:type="pct"/>
            <w:noWrap/>
            <w:hideMark/>
          </w:tcPr>
          <w:p w14:paraId="3F758E18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hybrydowe benzynowe małe</w:t>
            </w:r>
          </w:p>
        </w:tc>
        <w:tc>
          <w:tcPr>
            <w:tcW w:w="1322" w:type="pct"/>
            <w:noWrap/>
            <w:hideMark/>
          </w:tcPr>
          <w:p w14:paraId="1BD909FC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4</w:t>
            </w:r>
          </w:p>
        </w:tc>
        <w:tc>
          <w:tcPr>
            <w:tcW w:w="660" w:type="pct"/>
            <w:noWrap/>
            <w:hideMark/>
          </w:tcPr>
          <w:p w14:paraId="7060C529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1,49</w:t>
            </w:r>
          </w:p>
        </w:tc>
      </w:tr>
      <w:tr w:rsidR="00570BA4" w:rsidRPr="0069505F" w14:paraId="399B8B54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70A1123E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samochody osobowe</w:t>
            </w:r>
          </w:p>
        </w:tc>
        <w:tc>
          <w:tcPr>
            <w:tcW w:w="1935" w:type="pct"/>
            <w:noWrap/>
            <w:hideMark/>
          </w:tcPr>
          <w:p w14:paraId="6E45D074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hybrydowe benzynowe średnie</w:t>
            </w:r>
          </w:p>
        </w:tc>
        <w:tc>
          <w:tcPr>
            <w:tcW w:w="1322" w:type="pct"/>
            <w:noWrap/>
            <w:hideMark/>
          </w:tcPr>
          <w:p w14:paraId="075ADCC4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4</w:t>
            </w:r>
          </w:p>
        </w:tc>
        <w:tc>
          <w:tcPr>
            <w:tcW w:w="660" w:type="pct"/>
            <w:noWrap/>
            <w:hideMark/>
          </w:tcPr>
          <w:p w14:paraId="43D410F6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1,49</w:t>
            </w:r>
          </w:p>
        </w:tc>
      </w:tr>
      <w:tr w:rsidR="00570BA4" w:rsidRPr="0069505F" w14:paraId="52A44CCC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1F3CE6D1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samochody osobowe</w:t>
            </w:r>
          </w:p>
        </w:tc>
        <w:tc>
          <w:tcPr>
            <w:tcW w:w="1935" w:type="pct"/>
            <w:noWrap/>
            <w:hideMark/>
          </w:tcPr>
          <w:p w14:paraId="7E6F9678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hybrydowe benzynowe duże SUV</w:t>
            </w:r>
          </w:p>
        </w:tc>
        <w:tc>
          <w:tcPr>
            <w:tcW w:w="1322" w:type="pct"/>
            <w:noWrap/>
            <w:hideMark/>
          </w:tcPr>
          <w:p w14:paraId="19EC82CA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4</w:t>
            </w:r>
          </w:p>
        </w:tc>
        <w:tc>
          <w:tcPr>
            <w:tcW w:w="660" w:type="pct"/>
            <w:noWrap/>
            <w:hideMark/>
          </w:tcPr>
          <w:p w14:paraId="21624957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1,49</w:t>
            </w:r>
          </w:p>
        </w:tc>
      </w:tr>
      <w:tr w:rsidR="00570BA4" w:rsidRPr="0069505F" w14:paraId="3059EE11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0422FED0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samochody osobowe</w:t>
            </w:r>
          </w:p>
        </w:tc>
        <w:tc>
          <w:tcPr>
            <w:tcW w:w="1935" w:type="pct"/>
            <w:noWrap/>
            <w:hideMark/>
          </w:tcPr>
          <w:p w14:paraId="4D9616BA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E85</w:t>
            </w:r>
          </w:p>
        </w:tc>
        <w:tc>
          <w:tcPr>
            <w:tcW w:w="1322" w:type="pct"/>
            <w:noWrap/>
            <w:hideMark/>
          </w:tcPr>
          <w:p w14:paraId="11F2BB02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4 i późniejsze</w:t>
            </w:r>
          </w:p>
        </w:tc>
        <w:tc>
          <w:tcPr>
            <w:tcW w:w="660" w:type="pct"/>
            <w:noWrap/>
            <w:hideMark/>
          </w:tcPr>
          <w:p w14:paraId="27FD029C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3,33</w:t>
            </w:r>
          </w:p>
        </w:tc>
      </w:tr>
      <w:tr w:rsidR="00570BA4" w:rsidRPr="0069505F" w14:paraId="51E30C54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050EE263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samochody osobowe</w:t>
            </w:r>
          </w:p>
        </w:tc>
        <w:tc>
          <w:tcPr>
            <w:tcW w:w="1935" w:type="pct"/>
            <w:noWrap/>
            <w:hideMark/>
          </w:tcPr>
          <w:p w14:paraId="270FAC22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CNG</w:t>
            </w:r>
          </w:p>
        </w:tc>
        <w:tc>
          <w:tcPr>
            <w:tcW w:w="1322" w:type="pct"/>
            <w:noWrap/>
            <w:hideMark/>
          </w:tcPr>
          <w:p w14:paraId="1F4B68B9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4 i późniejsze</w:t>
            </w:r>
          </w:p>
        </w:tc>
        <w:tc>
          <w:tcPr>
            <w:tcW w:w="660" w:type="pct"/>
            <w:noWrap/>
            <w:hideMark/>
          </w:tcPr>
          <w:p w14:paraId="2AFD48EA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3,02</w:t>
            </w:r>
          </w:p>
        </w:tc>
      </w:tr>
      <w:tr w:rsidR="00570BA4" w:rsidRPr="0069505F" w14:paraId="3C29070A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0E5CCBC2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lastRenderedPageBreak/>
              <w:t>dostawcze</w:t>
            </w:r>
          </w:p>
        </w:tc>
        <w:tc>
          <w:tcPr>
            <w:tcW w:w="1935" w:type="pct"/>
            <w:noWrap/>
            <w:hideMark/>
          </w:tcPr>
          <w:p w14:paraId="190191C5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benzynowe</w:t>
            </w:r>
          </w:p>
        </w:tc>
        <w:tc>
          <w:tcPr>
            <w:tcW w:w="1322" w:type="pct"/>
            <w:noWrap/>
            <w:hideMark/>
          </w:tcPr>
          <w:p w14:paraId="6C41E032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konwencjonalne</w:t>
            </w:r>
          </w:p>
        </w:tc>
        <w:tc>
          <w:tcPr>
            <w:tcW w:w="660" w:type="pct"/>
            <w:noWrap/>
            <w:hideMark/>
          </w:tcPr>
          <w:p w14:paraId="3642CFC2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3,72</w:t>
            </w:r>
          </w:p>
        </w:tc>
      </w:tr>
      <w:tr w:rsidR="00570BA4" w:rsidRPr="0069505F" w14:paraId="7B0EC14E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0CFFE201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dostawcze</w:t>
            </w:r>
          </w:p>
        </w:tc>
        <w:tc>
          <w:tcPr>
            <w:tcW w:w="1935" w:type="pct"/>
            <w:noWrap/>
            <w:hideMark/>
          </w:tcPr>
          <w:p w14:paraId="4F8DEBE5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benzynowe</w:t>
            </w:r>
          </w:p>
        </w:tc>
        <w:tc>
          <w:tcPr>
            <w:tcW w:w="1322" w:type="pct"/>
            <w:noWrap/>
            <w:hideMark/>
          </w:tcPr>
          <w:p w14:paraId="129F9E7D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1 i późniejsze</w:t>
            </w:r>
          </w:p>
        </w:tc>
        <w:tc>
          <w:tcPr>
            <w:tcW w:w="660" w:type="pct"/>
            <w:noWrap/>
            <w:hideMark/>
          </w:tcPr>
          <w:p w14:paraId="108FE346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3,06</w:t>
            </w:r>
          </w:p>
        </w:tc>
      </w:tr>
      <w:tr w:rsidR="00570BA4" w:rsidRPr="0069505F" w14:paraId="79CA9770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001AB51E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dostawcze</w:t>
            </w:r>
          </w:p>
        </w:tc>
        <w:tc>
          <w:tcPr>
            <w:tcW w:w="1935" w:type="pct"/>
            <w:noWrap/>
            <w:hideMark/>
          </w:tcPr>
          <w:p w14:paraId="1BA2E30B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diesel</w:t>
            </w:r>
          </w:p>
        </w:tc>
        <w:tc>
          <w:tcPr>
            <w:tcW w:w="1322" w:type="pct"/>
            <w:noWrap/>
            <w:hideMark/>
          </w:tcPr>
          <w:p w14:paraId="52ECD7BE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konwencjonalne</w:t>
            </w:r>
          </w:p>
        </w:tc>
        <w:tc>
          <w:tcPr>
            <w:tcW w:w="660" w:type="pct"/>
            <w:noWrap/>
            <w:hideMark/>
          </w:tcPr>
          <w:p w14:paraId="631D6578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3,80</w:t>
            </w:r>
          </w:p>
        </w:tc>
      </w:tr>
      <w:tr w:rsidR="00570BA4" w:rsidRPr="0069505F" w14:paraId="0B45FBA0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6C20A4A3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dostawcze</w:t>
            </w:r>
          </w:p>
        </w:tc>
        <w:tc>
          <w:tcPr>
            <w:tcW w:w="1935" w:type="pct"/>
            <w:noWrap/>
            <w:hideMark/>
          </w:tcPr>
          <w:p w14:paraId="3B58F248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diesel</w:t>
            </w:r>
          </w:p>
        </w:tc>
        <w:tc>
          <w:tcPr>
            <w:tcW w:w="1322" w:type="pct"/>
            <w:noWrap/>
            <w:hideMark/>
          </w:tcPr>
          <w:p w14:paraId="5E5391BD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1 i późniejsze</w:t>
            </w:r>
          </w:p>
        </w:tc>
        <w:tc>
          <w:tcPr>
            <w:tcW w:w="660" w:type="pct"/>
            <w:noWrap/>
            <w:hideMark/>
          </w:tcPr>
          <w:p w14:paraId="470AFAD8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3,42</w:t>
            </w:r>
          </w:p>
        </w:tc>
      </w:tr>
      <w:tr w:rsidR="00570BA4" w:rsidRPr="0069505F" w14:paraId="5F2C4A8D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16D2E3B9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ciężarowe</w:t>
            </w:r>
          </w:p>
        </w:tc>
        <w:tc>
          <w:tcPr>
            <w:tcW w:w="1935" w:type="pct"/>
            <w:noWrap/>
            <w:hideMark/>
          </w:tcPr>
          <w:p w14:paraId="3376E555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benzynowe &gt; 3,5 t</w:t>
            </w:r>
          </w:p>
        </w:tc>
        <w:tc>
          <w:tcPr>
            <w:tcW w:w="1322" w:type="pct"/>
            <w:noWrap/>
            <w:hideMark/>
          </w:tcPr>
          <w:p w14:paraId="7348BF66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konwencjonalne</w:t>
            </w:r>
          </w:p>
        </w:tc>
        <w:tc>
          <w:tcPr>
            <w:tcW w:w="660" w:type="pct"/>
            <w:noWrap/>
            <w:hideMark/>
          </w:tcPr>
          <w:p w14:paraId="48E39DDF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7,75</w:t>
            </w:r>
          </w:p>
        </w:tc>
      </w:tr>
      <w:tr w:rsidR="00570BA4" w:rsidRPr="0069505F" w14:paraId="55249FF1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4134FB8F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ciężarowe</w:t>
            </w:r>
          </w:p>
        </w:tc>
        <w:tc>
          <w:tcPr>
            <w:tcW w:w="1935" w:type="pct"/>
            <w:noWrap/>
            <w:hideMark/>
          </w:tcPr>
          <w:p w14:paraId="28A36BDA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≤ 7,5 t</w:t>
            </w:r>
          </w:p>
        </w:tc>
        <w:tc>
          <w:tcPr>
            <w:tcW w:w="1322" w:type="pct"/>
            <w:noWrap/>
            <w:hideMark/>
          </w:tcPr>
          <w:p w14:paraId="206D47F0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konwencjonalne</w:t>
            </w:r>
          </w:p>
        </w:tc>
        <w:tc>
          <w:tcPr>
            <w:tcW w:w="660" w:type="pct"/>
            <w:noWrap/>
            <w:hideMark/>
          </w:tcPr>
          <w:p w14:paraId="1B6D8F71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5,34</w:t>
            </w:r>
          </w:p>
        </w:tc>
      </w:tr>
      <w:tr w:rsidR="00570BA4" w:rsidRPr="0069505F" w14:paraId="4651DB21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7918BBBC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ciężarowe</w:t>
            </w:r>
          </w:p>
        </w:tc>
        <w:tc>
          <w:tcPr>
            <w:tcW w:w="1935" w:type="pct"/>
            <w:noWrap/>
            <w:hideMark/>
          </w:tcPr>
          <w:p w14:paraId="44E71DAC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≤ 7,5 t</w:t>
            </w:r>
          </w:p>
        </w:tc>
        <w:tc>
          <w:tcPr>
            <w:tcW w:w="1322" w:type="pct"/>
            <w:noWrap/>
            <w:hideMark/>
          </w:tcPr>
          <w:p w14:paraId="716A2B6B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1 i późniejsze</w:t>
            </w:r>
          </w:p>
        </w:tc>
        <w:tc>
          <w:tcPr>
            <w:tcW w:w="660" w:type="pct"/>
            <w:noWrap/>
            <w:hideMark/>
          </w:tcPr>
          <w:p w14:paraId="1110A335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4,31</w:t>
            </w:r>
          </w:p>
        </w:tc>
      </w:tr>
      <w:tr w:rsidR="00570BA4" w:rsidRPr="0069505F" w14:paraId="25699DF3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4D5067A4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ciężarowe</w:t>
            </w:r>
          </w:p>
        </w:tc>
        <w:tc>
          <w:tcPr>
            <w:tcW w:w="1935" w:type="pct"/>
            <w:noWrap/>
            <w:hideMark/>
          </w:tcPr>
          <w:p w14:paraId="20A4D293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 xml:space="preserve">7,5 </w:t>
            </w:r>
            <w:r w:rsidRPr="00570BA4">
              <w:t>– 16 t</w:t>
            </w:r>
          </w:p>
        </w:tc>
        <w:tc>
          <w:tcPr>
            <w:tcW w:w="1322" w:type="pct"/>
            <w:noWrap/>
            <w:hideMark/>
          </w:tcPr>
          <w:p w14:paraId="6E2F1CA1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konwencjonalne</w:t>
            </w:r>
          </w:p>
        </w:tc>
        <w:tc>
          <w:tcPr>
            <w:tcW w:w="660" w:type="pct"/>
            <w:noWrap/>
            <w:hideMark/>
          </w:tcPr>
          <w:p w14:paraId="206A346B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7,77</w:t>
            </w:r>
          </w:p>
        </w:tc>
      </w:tr>
      <w:tr w:rsidR="00570BA4" w:rsidRPr="0069505F" w14:paraId="1A9C6666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5FDD4C24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ciężarowe</w:t>
            </w:r>
          </w:p>
        </w:tc>
        <w:tc>
          <w:tcPr>
            <w:tcW w:w="1935" w:type="pct"/>
            <w:noWrap/>
            <w:hideMark/>
          </w:tcPr>
          <w:p w14:paraId="47BEEB40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 xml:space="preserve">7,5 </w:t>
            </w:r>
            <w:r w:rsidRPr="00570BA4">
              <w:t>– 16 t</w:t>
            </w:r>
          </w:p>
        </w:tc>
        <w:tc>
          <w:tcPr>
            <w:tcW w:w="1322" w:type="pct"/>
            <w:noWrap/>
            <w:hideMark/>
          </w:tcPr>
          <w:p w14:paraId="0253DEDB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1 i późniejsze</w:t>
            </w:r>
          </w:p>
        </w:tc>
        <w:tc>
          <w:tcPr>
            <w:tcW w:w="660" w:type="pct"/>
            <w:noWrap/>
            <w:hideMark/>
          </w:tcPr>
          <w:p w14:paraId="66991A8C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6,62</w:t>
            </w:r>
          </w:p>
        </w:tc>
      </w:tr>
      <w:tr w:rsidR="00570BA4" w:rsidRPr="0069505F" w14:paraId="46C01A51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7D1112FE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ciężarowe</w:t>
            </w:r>
          </w:p>
        </w:tc>
        <w:tc>
          <w:tcPr>
            <w:tcW w:w="1935" w:type="pct"/>
            <w:noWrap/>
            <w:hideMark/>
          </w:tcPr>
          <w:p w14:paraId="1312A678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 xml:space="preserve">16 </w:t>
            </w:r>
            <w:r w:rsidRPr="00570BA4">
              <w:t>– 32 t</w:t>
            </w:r>
          </w:p>
        </w:tc>
        <w:tc>
          <w:tcPr>
            <w:tcW w:w="1322" w:type="pct"/>
            <w:noWrap/>
            <w:hideMark/>
          </w:tcPr>
          <w:p w14:paraId="4D88F760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konwencjonalne</w:t>
            </w:r>
          </w:p>
        </w:tc>
        <w:tc>
          <w:tcPr>
            <w:tcW w:w="660" w:type="pct"/>
            <w:noWrap/>
            <w:hideMark/>
          </w:tcPr>
          <w:p w14:paraId="1A86F70B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10,72</w:t>
            </w:r>
          </w:p>
        </w:tc>
      </w:tr>
      <w:tr w:rsidR="00570BA4" w:rsidRPr="0069505F" w14:paraId="1EA3E778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52BE6D8A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ciężarowe</w:t>
            </w:r>
          </w:p>
        </w:tc>
        <w:tc>
          <w:tcPr>
            <w:tcW w:w="1935" w:type="pct"/>
            <w:noWrap/>
            <w:hideMark/>
          </w:tcPr>
          <w:p w14:paraId="6E7D3859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 xml:space="preserve">17 </w:t>
            </w:r>
            <w:r w:rsidRPr="00570BA4">
              <w:t>– 32 t</w:t>
            </w:r>
          </w:p>
        </w:tc>
        <w:tc>
          <w:tcPr>
            <w:tcW w:w="1322" w:type="pct"/>
            <w:noWrap/>
            <w:hideMark/>
          </w:tcPr>
          <w:p w14:paraId="54E799C7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1 i późniejsze</w:t>
            </w:r>
          </w:p>
        </w:tc>
        <w:tc>
          <w:tcPr>
            <w:tcW w:w="660" w:type="pct"/>
            <w:noWrap/>
            <w:hideMark/>
          </w:tcPr>
          <w:p w14:paraId="5403536A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8,97</w:t>
            </w:r>
          </w:p>
        </w:tc>
      </w:tr>
      <w:tr w:rsidR="00570BA4" w:rsidRPr="0069505F" w14:paraId="43840A20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10F3B7E5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ciężarowe</w:t>
            </w:r>
          </w:p>
        </w:tc>
        <w:tc>
          <w:tcPr>
            <w:tcW w:w="1935" w:type="pct"/>
            <w:noWrap/>
            <w:hideMark/>
          </w:tcPr>
          <w:p w14:paraId="70E282BD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&gt; 32 t</w:t>
            </w:r>
          </w:p>
        </w:tc>
        <w:tc>
          <w:tcPr>
            <w:tcW w:w="1322" w:type="pct"/>
            <w:noWrap/>
            <w:hideMark/>
          </w:tcPr>
          <w:p w14:paraId="3CBE6F7E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konwencjonalne</w:t>
            </w:r>
          </w:p>
        </w:tc>
        <w:tc>
          <w:tcPr>
            <w:tcW w:w="660" w:type="pct"/>
            <w:noWrap/>
            <w:hideMark/>
          </w:tcPr>
          <w:p w14:paraId="70C7FEBA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12,68</w:t>
            </w:r>
          </w:p>
        </w:tc>
      </w:tr>
      <w:tr w:rsidR="00570BA4" w:rsidRPr="0069505F" w14:paraId="0EDFAAA7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3B853E79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ciężarowe</w:t>
            </w:r>
          </w:p>
        </w:tc>
        <w:tc>
          <w:tcPr>
            <w:tcW w:w="1935" w:type="pct"/>
            <w:noWrap/>
            <w:hideMark/>
          </w:tcPr>
          <w:p w14:paraId="01BA816D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&gt; 32 t</w:t>
            </w:r>
          </w:p>
        </w:tc>
        <w:tc>
          <w:tcPr>
            <w:tcW w:w="1322" w:type="pct"/>
            <w:noWrap/>
            <w:hideMark/>
          </w:tcPr>
          <w:p w14:paraId="6B03E16D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1 i późniejsze</w:t>
            </w:r>
          </w:p>
        </w:tc>
        <w:tc>
          <w:tcPr>
            <w:tcW w:w="660" w:type="pct"/>
            <w:noWrap/>
            <w:hideMark/>
          </w:tcPr>
          <w:p w14:paraId="0EEC0099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10,72</w:t>
            </w:r>
          </w:p>
        </w:tc>
      </w:tr>
      <w:tr w:rsidR="00570BA4" w:rsidRPr="0069505F" w14:paraId="56FE87FD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35A27D91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autobusy</w:t>
            </w:r>
          </w:p>
        </w:tc>
        <w:tc>
          <w:tcPr>
            <w:tcW w:w="1935" w:type="pct"/>
            <w:noWrap/>
            <w:hideMark/>
          </w:tcPr>
          <w:p w14:paraId="35B806A8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miejskie CNG</w:t>
            </w:r>
          </w:p>
        </w:tc>
        <w:tc>
          <w:tcPr>
            <w:tcW w:w="1322" w:type="pct"/>
            <w:noWrap/>
            <w:hideMark/>
          </w:tcPr>
          <w:p w14:paraId="6FE432D8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HD Euro I</w:t>
            </w:r>
          </w:p>
        </w:tc>
        <w:tc>
          <w:tcPr>
            <w:tcW w:w="660" w:type="pct"/>
            <w:noWrap/>
            <w:hideMark/>
          </w:tcPr>
          <w:p w14:paraId="207F842D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26,64</w:t>
            </w:r>
          </w:p>
        </w:tc>
      </w:tr>
      <w:tr w:rsidR="00570BA4" w:rsidRPr="0069505F" w14:paraId="6681A484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7DB3E659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autobusy</w:t>
            </w:r>
          </w:p>
        </w:tc>
        <w:tc>
          <w:tcPr>
            <w:tcW w:w="1935" w:type="pct"/>
            <w:noWrap/>
            <w:hideMark/>
          </w:tcPr>
          <w:p w14:paraId="7998E4AE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miejskie CNG</w:t>
            </w:r>
          </w:p>
        </w:tc>
        <w:tc>
          <w:tcPr>
            <w:tcW w:w="1322" w:type="pct"/>
            <w:noWrap/>
            <w:hideMark/>
          </w:tcPr>
          <w:p w14:paraId="7989ED41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HD Euro II</w:t>
            </w:r>
          </w:p>
        </w:tc>
        <w:tc>
          <w:tcPr>
            <w:tcW w:w="660" w:type="pct"/>
            <w:noWrap/>
            <w:hideMark/>
          </w:tcPr>
          <w:p w14:paraId="3B5FD52B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24,72</w:t>
            </w:r>
          </w:p>
        </w:tc>
      </w:tr>
      <w:tr w:rsidR="00570BA4" w:rsidRPr="0069505F" w14:paraId="31EB923D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16914A40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autobusy</w:t>
            </w:r>
          </w:p>
        </w:tc>
        <w:tc>
          <w:tcPr>
            <w:tcW w:w="1935" w:type="pct"/>
            <w:noWrap/>
            <w:hideMark/>
          </w:tcPr>
          <w:p w14:paraId="5EDA3B1C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miejskie CNG</w:t>
            </w:r>
          </w:p>
        </w:tc>
        <w:tc>
          <w:tcPr>
            <w:tcW w:w="1322" w:type="pct"/>
            <w:noWrap/>
            <w:hideMark/>
          </w:tcPr>
          <w:p w14:paraId="751A9469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HD Euro III</w:t>
            </w:r>
          </w:p>
        </w:tc>
        <w:tc>
          <w:tcPr>
            <w:tcW w:w="660" w:type="pct"/>
            <w:noWrap/>
            <w:hideMark/>
          </w:tcPr>
          <w:p w14:paraId="17BC67EC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21,84</w:t>
            </w:r>
          </w:p>
        </w:tc>
      </w:tr>
      <w:tr w:rsidR="00570BA4" w:rsidRPr="0069505F" w14:paraId="4BBA7191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35560F45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autobusy</w:t>
            </w:r>
          </w:p>
        </w:tc>
        <w:tc>
          <w:tcPr>
            <w:tcW w:w="1935" w:type="pct"/>
            <w:noWrap/>
            <w:hideMark/>
          </w:tcPr>
          <w:p w14:paraId="41948D21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miejskie CNG</w:t>
            </w:r>
          </w:p>
        </w:tc>
        <w:tc>
          <w:tcPr>
            <w:tcW w:w="1322" w:type="pct"/>
            <w:noWrap/>
            <w:hideMark/>
          </w:tcPr>
          <w:p w14:paraId="7AF6F444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EEV</w:t>
            </w:r>
          </w:p>
        </w:tc>
        <w:tc>
          <w:tcPr>
            <w:tcW w:w="660" w:type="pct"/>
            <w:noWrap/>
            <w:hideMark/>
          </w:tcPr>
          <w:p w14:paraId="6F05C744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21,84</w:t>
            </w:r>
          </w:p>
        </w:tc>
      </w:tr>
      <w:tr w:rsidR="00570BA4" w:rsidRPr="0069505F" w14:paraId="0B2FDC92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4AA396E0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autobusy</w:t>
            </w:r>
          </w:p>
        </w:tc>
        <w:tc>
          <w:tcPr>
            <w:tcW w:w="1935" w:type="pct"/>
            <w:noWrap/>
            <w:hideMark/>
          </w:tcPr>
          <w:p w14:paraId="00DFE8FE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miejskie standardowe</w:t>
            </w:r>
          </w:p>
        </w:tc>
        <w:tc>
          <w:tcPr>
            <w:tcW w:w="1322" w:type="pct"/>
            <w:noWrap/>
            <w:hideMark/>
          </w:tcPr>
          <w:p w14:paraId="28FA150B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konwencjonalne</w:t>
            </w:r>
          </w:p>
        </w:tc>
        <w:tc>
          <w:tcPr>
            <w:tcW w:w="660" w:type="pct"/>
            <w:noWrap/>
            <w:hideMark/>
          </w:tcPr>
          <w:p w14:paraId="1D060664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15,63</w:t>
            </w:r>
          </w:p>
        </w:tc>
      </w:tr>
      <w:tr w:rsidR="00570BA4" w:rsidRPr="0069505F" w14:paraId="7C1F79C7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462D8BA4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autobusy</w:t>
            </w:r>
          </w:p>
        </w:tc>
        <w:tc>
          <w:tcPr>
            <w:tcW w:w="1935" w:type="pct"/>
            <w:noWrap/>
            <w:hideMark/>
          </w:tcPr>
          <w:p w14:paraId="5C52F66B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miejskie standardowe</w:t>
            </w:r>
          </w:p>
        </w:tc>
        <w:tc>
          <w:tcPr>
            <w:tcW w:w="1322" w:type="pct"/>
            <w:noWrap/>
            <w:hideMark/>
          </w:tcPr>
          <w:p w14:paraId="75C45550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1 i późniejsze</w:t>
            </w:r>
          </w:p>
        </w:tc>
        <w:tc>
          <w:tcPr>
            <w:tcW w:w="660" w:type="pct"/>
            <w:noWrap/>
            <w:hideMark/>
          </w:tcPr>
          <w:p w14:paraId="0809D43A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12,85</w:t>
            </w:r>
          </w:p>
        </w:tc>
      </w:tr>
      <w:tr w:rsidR="00570BA4" w:rsidRPr="0069505F" w14:paraId="7E3EAB2B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5E8FB6C9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autobusy</w:t>
            </w:r>
          </w:p>
        </w:tc>
        <w:tc>
          <w:tcPr>
            <w:tcW w:w="1935" w:type="pct"/>
            <w:noWrap/>
            <w:hideMark/>
          </w:tcPr>
          <w:p w14:paraId="4A6421A6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autokary standardowe</w:t>
            </w:r>
          </w:p>
        </w:tc>
        <w:tc>
          <w:tcPr>
            <w:tcW w:w="1322" w:type="pct"/>
            <w:noWrap/>
            <w:hideMark/>
          </w:tcPr>
          <w:p w14:paraId="7E6BB4F8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konwencjonalne</w:t>
            </w:r>
          </w:p>
        </w:tc>
        <w:tc>
          <w:tcPr>
            <w:tcW w:w="660" w:type="pct"/>
            <w:noWrap/>
            <w:hideMark/>
          </w:tcPr>
          <w:p w14:paraId="050A7BDE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11,23</w:t>
            </w:r>
          </w:p>
        </w:tc>
      </w:tr>
      <w:tr w:rsidR="00570BA4" w:rsidRPr="0069505F" w14:paraId="3D6A4A94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45398150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autobusy</w:t>
            </w:r>
          </w:p>
        </w:tc>
        <w:tc>
          <w:tcPr>
            <w:tcW w:w="1935" w:type="pct"/>
            <w:noWrap/>
            <w:hideMark/>
          </w:tcPr>
          <w:p w14:paraId="4A22BB18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autokary standardowe</w:t>
            </w:r>
          </w:p>
        </w:tc>
        <w:tc>
          <w:tcPr>
            <w:tcW w:w="1322" w:type="pct"/>
            <w:noWrap/>
            <w:hideMark/>
          </w:tcPr>
          <w:p w14:paraId="31706A2D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1 i późniejsze</w:t>
            </w:r>
          </w:p>
        </w:tc>
        <w:tc>
          <w:tcPr>
            <w:tcW w:w="660" w:type="pct"/>
            <w:noWrap/>
            <w:hideMark/>
          </w:tcPr>
          <w:p w14:paraId="40A60DC0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10,55</w:t>
            </w:r>
          </w:p>
        </w:tc>
      </w:tr>
      <w:tr w:rsidR="00570BA4" w:rsidRPr="0069505F" w14:paraId="7CCDFD4A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31BBE2B6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L</w:t>
            </w:r>
          </w:p>
        </w:tc>
        <w:tc>
          <w:tcPr>
            <w:tcW w:w="1935" w:type="pct"/>
            <w:noWrap/>
            <w:hideMark/>
          </w:tcPr>
          <w:p w14:paraId="0FF53CE2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motorowery dwusuwowe &lt; 50 cm3</w:t>
            </w:r>
          </w:p>
        </w:tc>
        <w:tc>
          <w:tcPr>
            <w:tcW w:w="1322" w:type="pct"/>
            <w:noWrap/>
            <w:hideMark/>
          </w:tcPr>
          <w:p w14:paraId="4E2D58A2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konwencjonalne</w:t>
            </w:r>
          </w:p>
        </w:tc>
        <w:tc>
          <w:tcPr>
            <w:tcW w:w="660" w:type="pct"/>
            <w:noWrap/>
            <w:hideMark/>
          </w:tcPr>
          <w:p w14:paraId="3CAE10F9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1,09</w:t>
            </w:r>
          </w:p>
        </w:tc>
      </w:tr>
      <w:tr w:rsidR="00570BA4" w:rsidRPr="0069505F" w14:paraId="6E179206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057B021D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L</w:t>
            </w:r>
          </w:p>
        </w:tc>
        <w:tc>
          <w:tcPr>
            <w:tcW w:w="1935" w:type="pct"/>
            <w:noWrap/>
            <w:hideMark/>
          </w:tcPr>
          <w:p w14:paraId="5B0CBA52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motorowery dwusuwowe &lt; 50 cm3</w:t>
            </w:r>
          </w:p>
        </w:tc>
        <w:tc>
          <w:tcPr>
            <w:tcW w:w="1322" w:type="pct"/>
            <w:noWrap/>
            <w:hideMark/>
          </w:tcPr>
          <w:p w14:paraId="1254C6F1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1</w:t>
            </w:r>
          </w:p>
        </w:tc>
        <w:tc>
          <w:tcPr>
            <w:tcW w:w="660" w:type="pct"/>
            <w:noWrap/>
            <w:hideMark/>
          </w:tcPr>
          <w:p w14:paraId="5960B549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0,88</w:t>
            </w:r>
          </w:p>
        </w:tc>
      </w:tr>
      <w:tr w:rsidR="00570BA4" w:rsidRPr="0069505F" w14:paraId="56E11C0D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1949EE96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L</w:t>
            </w:r>
          </w:p>
        </w:tc>
        <w:tc>
          <w:tcPr>
            <w:tcW w:w="1935" w:type="pct"/>
            <w:noWrap/>
            <w:hideMark/>
          </w:tcPr>
          <w:p w14:paraId="4452B474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motorowery dwusuwowe &lt; 50 cm3</w:t>
            </w:r>
          </w:p>
        </w:tc>
        <w:tc>
          <w:tcPr>
            <w:tcW w:w="1322" w:type="pct"/>
            <w:noWrap/>
            <w:hideMark/>
          </w:tcPr>
          <w:p w14:paraId="33E19651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2</w:t>
            </w:r>
          </w:p>
        </w:tc>
        <w:tc>
          <w:tcPr>
            <w:tcW w:w="660" w:type="pct"/>
            <w:noWrap/>
            <w:hideMark/>
          </w:tcPr>
          <w:p w14:paraId="70506289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0,88</w:t>
            </w:r>
          </w:p>
        </w:tc>
      </w:tr>
      <w:tr w:rsidR="00570BA4" w:rsidRPr="0069505F" w14:paraId="196D7ECA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14FE0959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L</w:t>
            </w:r>
          </w:p>
        </w:tc>
        <w:tc>
          <w:tcPr>
            <w:tcW w:w="1935" w:type="pct"/>
            <w:noWrap/>
            <w:hideMark/>
          </w:tcPr>
          <w:p w14:paraId="70B96103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 xml:space="preserve">motorowery </w:t>
            </w:r>
            <w:r w:rsidRPr="00570BA4">
              <w:t>dwusuwowe &lt; 50 cm3</w:t>
            </w:r>
          </w:p>
        </w:tc>
        <w:tc>
          <w:tcPr>
            <w:tcW w:w="1322" w:type="pct"/>
            <w:noWrap/>
            <w:hideMark/>
          </w:tcPr>
          <w:p w14:paraId="12CBAD73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3 i dalej</w:t>
            </w:r>
          </w:p>
        </w:tc>
        <w:tc>
          <w:tcPr>
            <w:tcW w:w="660" w:type="pct"/>
            <w:noWrap/>
            <w:hideMark/>
          </w:tcPr>
          <w:p w14:paraId="2AC9C3E9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0,88</w:t>
            </w:r>
          </w:p>
        </w:tc>
      </w:tr>
      <w:tr w:rsidR="00570BA4" w:rsidRPr="0069505F" w14:paraId="3F4DDDA3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18A5C741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L</w:t>
            </w:r>
          </w:p>
        </w:tc>
        <w:tc>
          <w:tcPr>
            <w:tcW w:w="1935" w:type="pct"/>
            <w:noWrap/>
            <w:hideMark/>
          </w:tcPr>
          <w:p w14:paraId="2AD9C11C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motorowery czterosuwowe &lt; 50 cm3</w:t>
            </w:r>
          </w:p>
        </w:tc>
        <w:tc>
          <w:tcPr>
            <w:tcW w:w="1322" w:type="pct"/>
            <w:noWrap/>
            <w:hideMark/>
          </w:tcPr>
          <w:p w14:paraId="7ED2275C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konwencjonalne</w:t>
            </w:r>
          </w:p>
        </w:tc>
        <w:tc>
          <w:tcPr>
            <w:tcW w:w="660" w:type="pct"/>
            <w:noWrap/>
            <w:hideMark/>
          </w:tcPr>
          <w:p w14:paraId="5F3CEC9B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1,09</w:t>
            </w:r>
          </w:p>
        </w:tc>
      </w:tr>
      <w:tr w:rsidR="00570BA4" w:rsidRPr="0069505F" w14:paraId="24FC9B58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293C7C33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L</w:t>
            </w:r>
          </w:p>
        </w:tc>
        <w:tc>
          <w:tcPr>
            <w:tcW w:w="1935" w:type="pct"/>
            <w:noWrap/>
            <w:hideMark/>
          </w:tcPr>
          <w:p w14:paraId="10757D08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motorowery czterosuwowe &lt; 50 cm3</w:t>
            </w:r>
          </w:p>
        </w:tc>
        <w:tc>
          <w:tcPr>
            <w:tcW w:w="1322" w:type="pct"/>
            <w:noWrap/>
            <w:hideMark/>
          </w:tcPr>
          <w:p w14:paraId="064A60D8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1</w:t>
            </w:r>
          </w:p>
        </w:tc>
        <w:tc>
          <w:tcPr>
            <w:tcW w:w="660" w:type="pct"/>
            <w:noWrap/>
            <w:hideMark/>
          </w:tcPr>
          <w:p w14:paraId="6E71F623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0,88</w:t>
            </w:r>
          </w:p>
        </w:tc>
      </w:tr>
      <w:tr w:rsidR="00570BA4" w:rsidRPr="0069505F" w14:paraId="0E10E024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09E057EA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L</w:t>
            </w:r>
          </w:p>
        </w:tc>
        <w:tc>
          <w:tcPr>
            <w:tcW w:w="1935" w:type="pct"/>
            <w:noWrap/>
            <w:hideMark/>
          </w:tcPr>
          <w:p w14:paraId="7E99506B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motorowery czterosuwowe &lt; 50 cm3</w:t>
            </w:r>
          </w:p>
        </w:tc>
        <w:tc>
          <w:tcPr>
            <w:tcW w:w="1322" w:type="pct"/>
            <w:noWrap/>
            <w:hideMark/>
          </w:tcPr>
          <w:p w14:paraId="5AAF23B6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2</w:t>
            </w:r>
          </w:p>
        </w:tc>
        <w:tc>
          <w:tcPr>
            <w:tcW w:w="660" w:type="pct"/>
            <w:noWrap/>
            <w:hideMark/>
          </w:tcPr>
          <w:p w14:paraId="0BF9ED4A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0,88</w:t>
            </w:r>
          </w:p>
        </w:tc>
      </w:tr>
      <w:tr w:rsidR="00570BA4" w:rsidRPr="0069505F" w14:paraId="0550C434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387377A8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L</w:t>
            </w:r>
          </w:p>
        </w:tc>
        <w:tc>
          <w:tcPr>
            <w:tcW w:w="1935" w:type="pct"/>
            <w:noWrap/>
            <w:hideMark/>
          </w:tcPr>
          <w:p w14:paraId="40C232CF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 xml:space="preserve">motorowery </w:t>
            </w:r>
            <w:r w:rsidRPr="00570BA4">
              <w:t>czterosuwowe &lt; 50 cm3</w:t>
            </w:r>
          </w:p>
        </w:tc>
        <w:tc>
          <w:tcPr>
            <w:tcW w:w="1322" w:type="pct"/>
            <w:noWrap/>
            <w:hideMark/>
          </w:tcPr>
          <w:p w14:paraId="752413AD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3 i dalej</w:t>
            </w:r>
          </w:p>
        </w:tc>
        <w:tc>
          <w:tcPr>
            <w:tcW w:w="660" w:type="pct"/>
            <w:noWrap/>
            <w:hideMark/>
          </w:tcPr>
          <w:p w14:paraId="0413C3F2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0,88</w:t>
            </w:r>
          </w:p>
        </w:tc>
      </w:tr>
      <w:tr w:rsidR="00570BA4" w:rsidRPr="0069505F" w14:paraId="5660EC4E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0683B598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L</w:t>
            </w:r>
          </w:p>
        </w:tc>
        <w:tc>
          <w:tcPr>
            <w:tcW w:w="1935" w:type="pct"/>
            <w:noWrap/>
            <w:hideMark/>
          </w:tcPr>
          <w:p w14:paraId="05DA2C43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motocykle dwusuwowe &lt; 50 cm3</w:t>
            </w:r>
          </w:p>
        </w:tc>
        <w:tc>
          <w:tcPr>
            <w:tcW w:w="1322" w:type="pct"/>
            <w:noWrap/>
            <w:hideMark/>
          </w:tcPr>
          <w:p w14:paraId="1DE0C7FB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konwencjonalne</w:t>
            </w:r>
          </w:p>
        </w:tc>
        <w:tc>
          <w:tcPr>
            <w:tcW w:w="660" w:type="pct"/>
            <w:noWrap/>
            <w:hideMark/>
          </w:tcPr>
          <w:p w14:paraId="5364A027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1,44</w:t>
            </w:r>
          </w:p>
        </w:tc>
      </w:tr>
      <w:tr w:rsidR="00570BA4" w:rsidRPr="0069505F" w14:paraId="72C99504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5F565B01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L</w:t>
            </w:r>
          </w:p>
        </w:tc>
        <w:tc>
          <w:tcPr>
            <w:tcW w:w="1935" w:type="pct"/>
            <w:noWrap/>
            <w:hideMark/>
          </w:tcPr>
          <w:p w14:paraId="0EEE1A12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motocykle dwusuwowe &lt; 50 cm3</w:t>
            </w:r>
          </w:p>
        </w:tc>
        <w:tc>
          <w:tcPr>
            <w:tcW w:w="1322" w:type="pct"/>
            <w:noWrap/>
            <w:hideMark/>
          </w:tcPr>
          <w:p w14:paraId="5F6ADCCF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1</w:t>
            </w:r>
          </w:p>
        </w:tc>
        <w:tc>
          <w:tcPr>
            <w:tcW w:w="660" w:type="pct"/>
            <w:noWrap/>
            <w:hideMark/>
          </w:tcPr>
          <w:p w14:paraId="21A5DADA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1,09</w:t>
            </w:r>
          </w:p>
        </w:tc>
      </w:tr>
      <w:tr w:rsidR="00570BA4" w:rsidRPr="0069505F" w14:paraId="10485CD1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3A66A0A8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L</w:t>
            </w:r>
          </w:p>
        </w:tc>
        <w:tc>
          <w:tcPr>
            <w:tcW w:w="1935" w:type="pct"/>
            <w:noWrap/>
            <w:hideMark/>
          </w:tcPr>
          <w:p w14:paraId="0E2E1D95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motocykle dwusuwowe &lt; 50 cm3</w:t>
            </w:r>
          </w:p>
        </w:tc>
        <w:tc>
          <w:tcPr>
            <w:tcW w:w="1322" w:type="pct"/>
            <w:noWrap/>
            <w:hideMark/>
          </w:tcPr>
          <w:p w14:paraId="1A319AB9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2</w:t>
            </w:r>
          </w:p>
        </w:tc>
        <w:tc>
          <w:tcPr>
            <w:tcW w:w="660" w:type="pct"/>
            <w:noWrap/>
            <w:hideMark/>
          </w:tcPr>
          <w:p w14:paraId="7C096A85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1,01</w:t>
            </w:r>
          </w:p>
        </w:tc>
      </w:tr>
      <w:tr w:rsidR="00570BA4" w:rsidRPr="0069505F" w14:paraId="01650FBE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431D7200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L</w:t>
            </w:r>
          </w:p>
        </w:tc>
        <w:tc>
          <w:tcPr>
            <w:tcW w:w="1935" w:type="pct"/>
            <w:noWrap/>
            <w:hideMark/>
          </w:tcPr>
          <w:p w14:paraId="5BAB4D0E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motocykle dwusuwowe &lt; 50 cm3</w:t>
            </w:r>
          </w:p>
        </w:tc>
        <w:tc>
          <w:tcPr>
            <w:tcW w:w="1322" w:type="pct"/>
            <w:noWrap/>
            <w:hideMark/>
          </w:tcPr>
          <w:p w14:paraId="55B7F0DF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3 i dalej</w:t>
            </w:r>
          </w:p>
        </w:tc>
        <w:tc>
          <w:tcPr>
            <w:tcW w:w="660" w:type="pct"/>
            <w:noWrap/>
            <w:hideMark/>
          </w:tcPr>
          <w:p w14:paraId="0CA06C3D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0,74</w:t>
            </w:r>
          </w:p>
        </w:tc>
      </w:tr>
      <w:tr w:rsidR="00570BA4" w:rsidRPr="0069505F" w14:paraId="08992E01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1D19AC9D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L</w:t>
            </w:r>
          </w:p>
        </w:tc>
        <w:tc>
          <w:tcPr>
            <w:tcW w:w="1935" w:type="pct"/>
            <w:noWrap/>
            <w:hideMark/>
          </w:tcPr>
          <w:p w14:paraId="7CFFCC8A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motocykle czterosuwowe &lt; 250 cm3</w:t>
            </w:r>
          </w:p>
        </w:tc>
        <w:tc>
          <w:tcPr>
            <w:tcW w:w="1322" w:type="pct"/>
            <w:noWrap/>
            <w:hideMark/>
          </w:tcPr>
          <w:p w14:paraId="7C56B6BD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konwencjonalne</w:t>
            </w:r>
          </w:p>
        </w:tc>
        <w:tc>
          <w:tcPr>
            <w:tcW w:w="660" w:type="pct"/>
            <w:noWrap/>
            <w:hideMark/>
          </w:tcPr>
          <w:p w14:paraId="25AD68C6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14,00</w:t>
            </w:r>
          </w:p>
        </w:tc>
      </w:tr>
      <w:tr w:rsidR="00570BA4" w:rsidRPr="0069505F" w14:paraId="4E3619D0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77868712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L</w:t>
            </w:r>
          </w:p>
        </w:tc>
        <w:tc>
          <w:tcPr>
            <w:tcW w:w="1935" w:type="pct"/>
            <w:noWrap/>
            <w:hideMark/>
          </w:tcPr>
          <w:p w14:paraId="7EF8ABE8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motocykle czterosuwowe &lt; 250 cm3</w:t>
            </w:r>
          </w:p>
        </w:tc>
        <w:tc>
          <w:tcPr>
            <w:tcW w:w="1322" w:type="pct"/>
            <w:noWrap/>
            <w:hideMark/>
          </w:tcPr>
          <w:p w14:paraId="24E7D28D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1 i dalej</w:t>
            </w:r>
          </w:p>
        </w:tc>
        <w:tc>
          <w:tcPr>
            <w:tcW w:w="660" w:type="pct"/>
            <w:noWrap/>
            <w:hideMark/>
          </w:tcPr>
          <w:p w14:paraId="6C853B05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1,58</w:t>
            </w:r>
          </w:p>
        </w:tc>
      </w:tr>
      <w:tr w:rsidR="00570BA4" w:rsidRPr="0069505F" w14:paraId="4167321C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0C892917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lastRenderedPageBreak/>
              <w:t>kategoria L</w:t>
            </w:r>
          </w:p>
        </w:tc>
        <w:tc>
          <w:tcPr>
            <w:tcW w:w="1935" w:type="pct"/>
            <w:noWrap/>
            <w:hideMark/>
          </w:tcPr>
          <w:p w14:paraId="04FA19BF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motocykle czterosuwowe 250</w:t>
            </w:r>
            <w:r w:rsidRPr="00570BA4">
              <w:t>–750 cm3</w:t>
            </w:r>
          </w:p>
        </w:tc>
        <w:tc>
          <w:tcPr>
            <w:tcW w:w="1322" w:type="pct"/>
            <w:noWrap/>
            <w:hideMark/>
          </w:tcPr>
          <w:p w14:paraId="09BA6552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konwencjonalne</w:t>
            </w:r>
          </w:p>
        </w:tc>
        <w:tc>
          <w:tcPr>
            <w:tcW w:w="660" w:type="pct"/>
            <w:noWrap/>
            <w:hideMark/>
          </w:tcPr>
          <w:p w14:paraId="4ECD9F5A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1,62</w:t>
            </w:r>
          </w:p>
        </w:tc>
      </w:tr>
      <w:tr w:rsidR="00570BA4" w:rsidRPr="0069505F" w14:paraId="07B2EE27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2EFA4406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L</w:t>
            </w:r>
          </w:p>
        </w:tc>
        <w:tc>
          <w:tcPr>
            <w:tcW w:w="1935" w:type="pct"/>
            <w:noWrap/>
            <w:hideMark/>
          </w:tcPr>
          <w:p w14:paraId="52106A94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 xml:space="preserve">motocykle </w:t>
            </w:r>
            <w:r w:rsidRPr="00570BA4">
              <w:t>czterosuwowe 250–750 cm3</w:t>
            </w:r>
          </w:p>
        </w:tc>
        <w:tc>
          <w:tcPr>
            <w:tcW w:w="1322" w:type="pct"/>
            <w:noWrap/>
            <w:hideMark/>
          </w:tcPr>
          <w:p w14:paraId="5AD585C8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1 i dalej</w:t>
            </w:r>
          </w:p>
        </w:tc>
        <w:tc>
          <w:tcPr>
            <w:tcW w:w="660" w:type="pct"/>
            <w:noWrap/>
            <w:hideMark/>
          </w:tcPr>
          <w:p w14:paraId="4C7A3793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1,58</w:t>
            </w:r>
          </w:p>
        </w:tc>
      </w:tr>
      <w:tr w:rsidR="00570BA4" w:rsidRPr="0069505F" w14:paraId="5F4BD90A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76670949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L</w:t>
            </w:r>
          </w:p>
        </w:tc>
        <w:tc>
          <w:tcPr>
            <w:tcW w:w="1935" w:type="pct"/>
            <w:noWrap/>
            <w:hideMark/>
          </w:tcPr>
          <w:p w14:paraId="69DC1B6B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motocykle czterosuwowe &gt; 750 cm3</w:t>
            </w:r>
          </w:p>
        </w:tc>
        <w:tc>
          <w:tcPr>
            <w:tcW w:w="1322" w:type="pct"/>
            <w:noWrap/>
            <w:hideMark/>
          </w:tcPr>
          <w:p w14:paraId="3C14D946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konwencjonalne</w:t>
            </w:r>
          </w:p>
        </w:tc>
        <w:tc>
          <w:tcPr>
            <w:tcW w:w="660" w:type="pct"/>
            <w:noWrap/>
            <w:hideMark/>
          </w:tcPr>
          <w:p w14:paraId="06E02082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1,97</w:t>
            </w:r>
          </w:p>
        </w:tc>
      </w:tr>
      <w:tr w:rsidR="00570BA4" w:rsidRPr="0069505F" w14:paraId="6A14FCA0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7BD24F36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L</w:t>
            </w:r>
          </w:p>
        </w:tc>
        <w:tc>
          <w:tcPr>
            <w:tcW w:w="1935" w:type="pct"/>
            <w:noWrap/>
            <w:hideMark/>
          </w:tcPr>
          <w:p w14:paraId="4E35D11D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motocykle czterosuwowe &gt; 750 cm3</w:t>
            </w:r>
          </w:p>
        </w:tc>
        <w:tc>
          <w:tcPr>
            <w:tcW w:w="1322" w:type="pct"/>
            <w:noWrap/>
            <w:hideMark/>
          </w:tcPr>
          <w:p w14:paraId="01A4212D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1 i dalej</w:t>
            </w:r>
          </w:p>
        </w:tc>
        <w:tc>
          <w:tcPr>
            <w:tcW w:w="660" w:type="pct"/>
            <w:noWrap/>
            <w:hideMark/>
          </w:tcPr>
          <w:p w14:paraId="10997472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2,01</w:t>
            </w:r>
          </w:p>
        </w:tc>
      </w:tr>
      <w:tr w:rsidR="00570BA4" w:rsidRPr="0069505F" w14:paraId="73589179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422C68D8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L</w:t>
            </w:r>
          </w:p>
        </w:tc>
        <w:tc>
          <w:tcPr>
            <w:tcW w:w="1935" w:type="pct"/>
            <w:noWrap/>
            <w:hideMark/>
          </w:tcPr>
          <w:p w14:paraId="3CBEF90A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mini samochody diesel</w:t>
            </w:r>
          </w:p>
        </w:tc>
        <w:tc>
          <w:tcPr>
            <w:tcW w:w="1322" w:type="pct"/>
            <w:noWrap/>
            <w:hideMark/>
          </w:tcPr>
          <w:p w14:paraId="0564D4EB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konwencjonalne</w:t>
            </w:r>
          </w:p>
        </w:tc>
        <w:tc>
          <w:tcPr>
            <w:tcW w:w="660" w:type="pct"/>
            <w:noWrap/>
            <w:hideMark/>
          </w:tcPr>
          <w:p w14:paraId="0848FE83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1,44</w:t>
            </w:r>
          </w:p>
        </w:tc>
      </w:tr>
      <w:tr w:rsidR="00570BA4" w:rsidRPr="0069505F" w14:paraId="42492C20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27D1BD67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L</w:t>
            </w:r>
          </w:p>
        </w:tc>
        <w:tc>
          <w:tcPr>
            <w:tcW w:w="1935" w:type="pct"/>
            <w:noWrap/>
            <w:hideMark/>
          </w:tcPr>
          <w:p w14:paraId="345BE85E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 xml:space="preserve">mini </w:t>
            </w:r>
            <w:r w:rsidRPr="00570BA4">
              <w:t>samochody diesel</w:t>
            </w:r>
          </w:p>
        </w:tc>
        <w:tc>
          <w:tcPr>
            <w:tcW w:w="1322" w:type="pct"/>
            <w:noWrap/>
            <w:hideMark/>
          </w:tcPr>
          <w:p w14:paraId="44EE30B8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1</w:t>
            </w:r>
          </w:p>
        </w:tc>
        <w:tc>
          <w:tcPr>
            <w:tcW w:w="660" w:type="pct"/>
            <w:noWrap/>
            <w:hideMark/>
          </w:tcPr>
          <w:p w14:paraId="00CFE321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1,26</w:t>
            </w:r>
          </w:p>
        </w:tc>
      </w:tr>
      <w:tr w:rsidR="00570BA4" w:rsidRPr="0069505F" w14:paraId="0FF30176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0C2E97E1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L</w:t>
            </w:r>
          </w:p>
        </w:tc>
        <w:tc>
          <w:tcPr>
            <w:tcW w:w="1935" w:type="pct"/>
            <w:noWrap/>
            <w:hideMark/>
          </w:tcPr>
          <w:p w14:paraId="72853FEB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mini samochody diesel</w:t>
            </w:r>
          </w:p>
        </w:tc>
        <w:tc>
          <w:tcPr>
            <w:tcW w:w="1322" w:type="pct"/>
            <w:noWrap/>
            <w:hideMark/>
          </w:tcPr>
          <w:p w14:paraId="7CF20883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2</w:t>
            </w:r>
          </w:p>
        </w:tc>
        <w:tc>
          <w:tcPr>
            <w:tcW w:w="660" w:type="pct"/>
            <w:noWrap/>
            <w:hideMark/>
          </w:tcPr>
          <w:p w14:paraId="6C3D8A64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1,26</w:t>
            </w:r>
          </w:p>
        </w:tc>
      </w:tr>
      <w:tr w:rsidR="00570BA4" w:rsidRPr="0069505F" w14:paraId="1C7B5C5D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788BCB54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L</w:t>
            </w:r>
          </w:p>
        </w:tc>
        <w:tc>
          <w:tcPr>
            <w:tcW w:w="1935" w:type="pct"/>
            <w:noWrap/>
            <w:hideMark/>
          </w:tcPr>
          <w:p w14:paraId="26044FF3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mini samochody diesel</w:t>
            </w:r>
          </w:p>
        </w:tc>
        <w:tc>
          <w:tcPr>
            <w:tcW w:w="1322" w:type="pct"/>
            <w:noWrap/>
            <w:hideMark/>
          </w:tcPr>
          <w:p w14:paraId="0E7BEFA0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3</w:t>
            </w:r>
          </w:p>
        </w:tc>
        <w:tc>
          <w:tcPr>
            <w:tcW w:w="660" w:type="pct"/>
            <w:noWrap/>
            <w:hideMark/>
          </w:tcPr>
          <w:p w14:paraId="43A49881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1,26</w:t>
            </w:r>
          </w:p>
        </w:tc>
      </w:tr>
      <w:tr w:rsidR="00570BA4" w:rsidRPr="0069505F" w14:paraId="5643E84C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43932AE9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L</w:t>
            </w:r>
          </w:p>
        </w:tc>
        <w:tc>
          <w:tcPr>
            <w:tcW w:w="1935" w:type="pct"/>
            <w:noWrap/>
            <w:hideMark/>
          </w:tcPr>
          <w:p w14:paraId="7FE1FF49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mini samochody diesel</w:t>
            </w:r>
          </w:p>
        </w:tc>
        <w:tc>
          <w:tcPr>
            <w:tcW w:w="1322" w:type="pct"/>
            <w:noWrap/>
            <w:hideMark/>
          </w:tcPr>
          <w:p w14:paraId="1C0BA123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4</w:t>
            </w:r>
          </w:p>
        </w:tc>
        <w:tc>
          <w:tcPr>
            <w:tcW w:w="660" w:type="pct"/>
            <w:noWrap/>
            <w:hideMark/>
          </w:tcPr>
          <w:p w14:paraId="05317AE2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1,13</w:t>
            </w:r>
          </w:p>
        </w:tc>
      </w:tr>
      <w:tr w:rsidR="00570BA4" w:rsidRPr="0069505F" w14:paraId="2918E321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06338E4B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L</w:t>
            </w:r>
          </w:p>
        </w:tc>
        <w:tc>
          <w:tcPr>
            <w:tcW w:w="1935" w:type="pct"/>
            <w:noWrap/>
            <w:hideMark/>
          </w:tcPr>
          <w:p w14:paraId="02E68F31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mini samochody diesel</w:t>
            </w:r>
          </w:p>
        </w:tc>
        <w:tc>
          <w:tcPr>
            <w:tcW w:w="1322" w:type="pct"/>
            <w:noWrap/>
            <w:hideMark/>
          </w:tcPr>
          <w:p w14:paraId="62100A43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5</w:t>
            </w:r>
          </w:p>
        </w:tc>
        <w:tc>
          <w:tcPr>
            <w:tcW w:w="660" w:type="pct"/>
            <w:noWrap/>
            <w:hideMark/>
          </w:tcPr>
          <w:p w14:paraId="1C66A6C7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1,13</w:t>
            </w:r>
          </w:p>
        </w:tc>
      </w:tr>
      <w:tr w:rsidR="00570BA4" w:rsidRPr="0069505F" w14:paraId="13A64235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3ACE43BA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L</w:t>
            </w:r>
          </w:p>
        </w:tc>
        <w:tc>
          <w:tcPr>
            <w:tcW w:w="1935" w:type="pct"/>
            <w:noWrap/>
            <w:hideMark/>
          </w:tcPr>
          <w:p w14:paraId="16090F23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pojazdy terenowe (</w:t>
            </w:r>
            <w:proofErr w:type="spellStart"/>
            <w:r w:rsidRPr="00105434">
              <w:t>ATVs</w:t>
            </w:r>
            <w:proofErr w:type="spellEnd"/>
            <w:r w:rsidRPr="00105434">
              <w:t>)</w:t>
            </w:r>
          </w:p>
        </w:tc>
        <w:tc>
          <w:tcPr>
            <w:tcW w:w="1322" w:type="pct"/>
            <w:noWrap/>
            <w:hideMark/>
          </w:tcPr>
          <w:p w14:paraId="74968003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konwencjonalne</w:t>
            </w:r>
          </w:p>
        </w:tc>
        <w:tc>
          <w:tcPr>
            <w:tcW w:w="660" w:type="pct"/>
            <w:noWrap/>
            <w:hideMark/>
          </w:tcPr>
          <w:p w14:paraId="4CB9EC2C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2,07</w:t>
            </w:r>
          </w:p>
        </w:tc>
      </w:tr>
      <w:tr w:rsidR="00570BA4" w:rsidRPr="0069505F" w14:paraId="2B35B5A9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6C46A625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L</w:t>
            </w:r>
          </w:p>
        </w:tc>
        <w:tc>
          <w:tcPr>
            <w:tcW w:w="1935" w:type="pct"/>
            <w:noWrap/>
            <w:hideMark/>
          </w:tcPr>
          <w:p w14:paraId="6D60D0CD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pojazdy terenowe (</w:t>
            </w:r>
            <w:proofErr w:type="spellStart"/>
            <w:r w:rsidRPr="00105434">
              <w:t>ATVs</w:t>
            </w:r>
            <w:proofErr w:type="spellEnd"/>
            <w:r w:rsidRPr="00105434">
              <w:t>)</w:t>
            </w:r>
          </w:p>
        </w:tc>
        <w:tc>
          <w:tcPr>
            <w:tcW w:w="1322" w:type="pct"/>
            <w:noWrap/>
            <w:hideMark/>
          </w:tcPr>
          <w:p w14:paraId="36372FF3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1</w:t>
            </w:r>
          </w:p>
        </w:tc>
        <w:tc>
          <w:tcPr>
            <w:tcW w:w="660" w:type="pct"/>
            <w:noWrap/>
            <w:hideMark/>
          </w:tcPr>
          <w:p w14:paraId="7E375145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1,79</w:t>
            </w:r>
          </w:p>
        </w:tc>
      </w:tr>
      <w:tr w:rsidR="00570BA4" w:rsidRPr="0069505F" w14:paraId="20465E21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4686D5F5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L</w:t>
            </w:r>
          </w:p>
        </w:tc>
        <w:tc>
          <w:tcPr>
            <w:tcW w:w="1935" w:type="pct"/>
            <w:noWrap/>
            <w:hideMark/>
          </w:tcPr>
          <w:p w14:paraId="3DCAEF5F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pojazdy terenowe (</w:t>
            </w:r>
            <w:proofErr w:type="spellStart"/>
            <w:r w:rsidRPr="00105434">
              <w:t>ATVs</w:t>
            </w:r>
            <w:proofErr w:type="spellEnd"/>
            <w:r w:rsidRPr="00105434">
              <w:t>)</w:t>
            </w:r>
          </w:p>
        </w:tc>
        <w:tc>
          <w:tcPr>
            <w:tcW w:w="1322" w:type="pct"/>
            <w:noWrap/>
            <w:hideMark/>
          </w:tcPr>
          <w:p w14:paraId="2D4DE169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2</w:t>
            </w:r>
          </w:p>
        </w:tc>
        <w:tc>
          <w:tcPr>
            <w:tcW w:w="660" w:type="pct"/>
            <w:noWrap/>
            <w:hideMark/>
          </w:tcPr>
          <w:p w14:paraId="1FCD4114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1,79</w:t>
            </w:r>
          </w:p>
        </w:tc>
      </w:tr>
      <w:tr w:rsidR="00570BA4" w:rsidRPr="0069505F" w14:paraId="1ED97DF1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4695E4DD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L</w:t>
            </w:r>
          </w:p>
        </w:tc>
        <w:tc>
          <w:tcPr>
            <w:tcW w:w="1935" w:type="pct"/>
            <w:noWrap/>
            <w:hideMark/>
          </w:tcPr>
          <w:p w14:paraId="7F79DA0F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pojazdy terenowe (</w:t>
            </w:r>
            <w:proofErr w:type="spellStart"/>
            <w:r w:rsidRPr="00105434">
              <w:t>ATVs</w:t>
            </w:r>
            <w:proofErr w:type="spellEnd"/>
            <w:r w:rsidRPr="00105434">
              <w:t>)</w:t>
            </w:r>
          </w:p>
        </w:tc>
        <w:tc>
          <w:tcPr>
            <w:tcW w:w="1322" w:type="pct"/>
            <w:noWrap/>
            <w:hideMark/>
          </w:tcPr>
          <w:p w14:paraId="00AF613F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3</w:t>
            </w:r>
          </w:p>
        </w:tc>
        <w:tc>
          <w:tcPr>
            <w:tcW w:w="660" w:type="pct"/>
            <w:noWrap/>
            <w:hideMark/>
          </w:tcPr>
          <w:p w14:paraId="633261A9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1,79</w:t>
            </w:r>
          </w:p>
        </w:tc>
      </w:tr>
      <w:tr w:rsidR="00570BA4" w:rsidRPr="0069505F" w14:paraId="5E9ED27A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18C15AEC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L</w:t>
            </w:r>
          </w:p>
        </w:tc>
        <w:tc>
          <w:tcPr>
            <w:tcW w:w="1935" w:type="pct"/>
            <w:noWrap/>
            <w:hideMark/>
          </w:tcPr>
          <w:p w14:paraId="4CC9D771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pojazdy terenowe (</w:t>
            </w:r>
            <w:proofErr w:type="spellStart"/>
            <w:r w:rsidRPr="00105434">
              <w:t>ATVs</w:t>
            </w:r>
            <w:proofErr w:type="spellEnd"/>
            <w:r w:rsidRPr="00105434">
              <w:t>)</w:t>
            </w:r>
          </w:p>
        </w:tc>
        <w:tc>
          <w:tcPr>
            <w:tcW w:w="1322" w:type="pct"/>
            <w:noWrap/>
            <w:hideMark/>
          </w:tcPr>
          <w:p w14:paraId="765ADD5E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4</w:t>
            </w:r>
          </w:p>
        </w:tc>
        <w:tc>
          <w:tcPr>
            <w:tcW w:w="660" w:type="pct"/>
            <w:noWrap/>
            <w:hideMark/>
          </w:tcPr>
          <w:p w14:paraId="16EB5EC1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1,74</w:t>
            </w:r>
          </w:p>
        </w:tc>
      </w:tr>
      <w:tr w:rsidR="00570BA4" w:rsidRPr="0069505F" w14:paraId="57CAB9B4" w14:textId="77777777" w:rsidTr="002E4CB3">
        <w:trPr>
          <w:trHeight w:val="240"/>
        </w:trPr>
        <w:tc>
          <w:tcPr>
            <w:tcW w:w="1083" w:type="pct"/>
            <w:noWrap/>
            <w:hideMark/>
          </w:tcPr>
          <w:p w14:paraId="0DFD6D49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L</w:t>
            </w:r>
          </w:p>
        </w:tc>
        <w:tc>
          <w:tcPr>
            <w:tcW w:w="1935" w:type="pct"/>
            <w:noWrap/>
            <w:hideMark/>
          </w:tcPr>
          <w:p w14:paraId="4E5650A0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pojazdy terenowe (</w:t>
            </w:r>
            <w:proofErr w:type="spellStart"/>
            <w:r w:rsidRPr="00105434">
              <w:t>ATVs</w:t>
            </w:r>
            <w:proofErr w:type="spellEnd"/>
            <w:r w:rsidRPr="00105434">
              <w:t>)</w:t>
            </w:r>
          </w:p>
        </w:tc>
        <w:tc>
          <w:tcPr>
            <w:tcW w:w="1322" w:type="pct"/>
            <w:noWrap/>
            <w:hideMark/>
          </w:tcPr>
          <w:p w14:paraId="605FF26C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Euro 5</w:t>
            </w:r>
          </w:p>
        </w:tc>
        <w:tc>
          <w:tcPr>
            <w:tcW w:w="660" w:type="pct"/>
            <w:noWrap/>
            <w:hideMark/>
          </w:tcPr>
          <w:p w14:paraId="5BE41371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1,74</w:t>
            </w:r>
          </w:p>
        </w:tc>
      </w:tr>
    </w:tbl>
    <w:p w14:paraId="17431E90" w14:textId="77777777" w:rsidR="00570BA4" w:rsidRDefault="00570BA4" w:rsidP="00570BA4">
      <w:pPr>
        <w:pStyle w:val="PKTpunkt"/>
      </w:pPr>
    </w:p>
    <w:p w14:paraId="04F82A92" w14:textId="77777777" w:rsidR="00570BA4" w:rsidRDefault="00570BA4" w:rsidP="00570BA4">
      <w:pPr>
        <w:pStyle w:val="PKTpunkt"/>
      </w:pPr>
      <w:r>
        <w:t>Tabela nr 10. Średni przebieg w podziale na typy pojazdów</w:t>
      </w:r>
    </w:p>
    <w:tbl>
      <w:tblPr>
        <w:tblStyle w:val="TABELA1zszablonu"/>
        <w:tblW w:w="5000" w:type="pct"/>
        <w:tblLook w:val="04A0" w:firstRow="1" w:lastRow="0" w:firstColumn="1" w:lastColumn="0" w:noHBand="0" w:noVBand="1"/>
      </w:tblPr>
      <w:tblGrid>
        <w:gridCol w:w="5804"/>
        <w:gridCol w:w="3220"/>
      </w:tblGrid>
      <w:tr w:rsidR="00570BA4" w:rsidRPr="0069505F" w14:paraId="7A7877D3" w14:textId="77777777" w:rsidTr="002E4CB3">
        <w:trPr>
          <w:trHeight w:val="1030"/>
        </w:trPr>
        <w:tc>
          <w:tcPr>
            <w:tcW w:w="3216" w:type="pct"/>
            <w:noWrap/>
            <w:hideMark/>
          </w:tcPr>
          <w:p w14:paraId="3F85D59E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pojazdów</w:t>
            </w:r>
          </w:p>
        </w:tc>
        <w:tc>
          <w:tcPr>
            <w:tcW w:w="1784" w:type="pct"/>
            <w:hideMark/>
          </w:tcPr>
          <w:p w14:paraId="0C60D92E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Średni przebieg [km]</w:t>
            </w:r>
          </w:p>
        </w:tc>
      </w:tr>
      <w:tr w:rsidR="00570BA4" w:rsidRPr="0069505F" w14:paraId="62B95A67" w14:textId="77777777" w:rsidTr="002E4CB3">
        <w:trPr>
          <w:trHeight w:val="240"/>
        </w:trPr>
        <w:tc>
          <w:tcPr>
            <w:tcW w:w="3216" w:type="pct"/>
            <w:noWrap/>
            <w:hideMark/>
          </w:tcPr>
          <w:p w14:paraId="7A99C9BE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samochody osobowe</w:t>
            </w:r>
          </w:p>
        </w:tc>
        <w:tc>
          <w:tcPr>
            <w:tcW w:w="1784" w:type="pct"/>
            <w:noWrap/>
            <w:hideMark/>
          </w:tcPr>
          <w:p w14:paraId="78DD7408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190 000</w:t>
            </w:r>
          </w:p>
        </w:tc>
      </w:tr>
      <w:tr w:rsidR="00570BA4" w:rsidRPr="0069505F" w14:paraId="2B52021C" w14:textId="77777777" w:rsidTr="002E4CB3">
        <w:trPr>
          <w:trHeight w:val="240"/>
        </w:trPr>
        <w:tc>
          <w:tcPr>
            <w:tcW w:w="3216" w:type="pct"/>
            <w:noWrap/>
            <w:hideMark/>
          </w:tcPr>
          <w:p w14:paraId="7BCE193A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dostawcze</w:t>
            </w:r>
          </w:p>
        </w:tc>
        <w:tc>
          <w:tcPr>
            <w:tcW w:w="1784" w:type="pct"/>
            <w:noWrap/>
            <w:hideMark/>
          </w:tcPr>
          <w:p w14:paraId="2CAAB0EB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300 000</w:t>
            </w:r>
          </w:p>
        </w:tc>
      </w:tr>
      <w:tr w:rsidR="00570BA4" w:rsidRPr="0069505F" w14:paraId="6ECF3416" w14:textId="77777777" w:rsidTr="002E4CB3">
        <w:trPr>
          <w:trHeight w:val="240"/>
        </w:trPr>
        <w:tc>
          <w:tcPr>
            <w:tcW w:w="3216" w:type="pct"/>
            <w:noWrap/>
            <w:hideMark/>
          </w:tcPr>
          <w:p w14:paraId="0427C4BE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ciężarowe</w:t>
            </w:r>
          </w:p>
        </w:tc>
        <w:tc>
          <w:tcPr>
            <w:tcW w:w="1784" w:type="pct"/>
            <w:noWrap/>
            <w:hideMark/>
          </w:tcPr>
          <w:p w14:paraId="04B354F7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500 000</w:t>
            </w:r>
          </w:p>
        </w:tc>
      </w:tr>
      <w:tr w:rsidR="00570BA4" w:rsidRPr="0069505F" w14:paraId="75DAE83D" w14:textId="77777777" w:rsidTr="002E4CB3">
        <w:trPr>
          <w:trHeight w:val="240"/>
        </w:trPr>
        <w:tc>
          <w:tcPr>
            <w:tcW w:w="3216" w:type="pct"/>
            <w:noWrap/>
            <w:hideMark/>
          </w:tcPr>
          <w:p w14:paraId="1E0E1E37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autobusy</w:t>
            </w:r>
          </w:p>
        </w:tc>
        <w:tc>
          <w:tcPr>
            <w:tcW w:w="1784" w:type="pct"/>
            <w:noWrap/>
            <w:hideMark/>
          </w:tcPr>
          <w:p w14:paraId="1EA9DEF4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600 000</w:t>
            </w:r>
          </w:p>
        </w:tc>
      </w:tr>
      <w:tr w:rsidR="00570BA4" w:rsidRPr="0069505F" w14:paraId="36A448FD" w14:textId="77777777" w:rsidTr="002E4CB3">
        <w:trPr>
          <w:trHeight w:val="240"/>
        </w:trPr>
        <w:tc>
          <w:tcPr>
            <w:tcW w:w="3216" w:type="pct"/>
            <w:noWrap/>
            <w:hideMark/>
          </w:tcPr>
          <w:p w14:paraId="6A0C75CD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L</w:t>
            </w:r>
          </w:p>
        </w:tc>
        <w:tc>
          <w:tcPr>
            <w:tcW w:w="1784" w:type="pct"/>
            <w:noWrap/>
            <w:hideMark/>
          </w:tcPr>
          <w:p w14:paraId="7B102D3C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40 000</w:t>
            </w:r>
          </w:p>
        </w:tc>
      </w:tr>
    </w:tbl>
    <w:p w14:paraId="5790E4DB" w14:textId="77777777" w:rsidR="00570BA4" w:rsidRDefault="00570BA4" w:rsidP="00570BA4">
      <w:pPr>
        <w:pStyle w:val="PKTpunkt"/>
      </w:pPr>
    </w:p>
    <w:p w14:paraId="6CA88251" w14:textId="77777777" w:rsidR="00570BA4" w:rsidRDefault="00570BA4" w:rsidP="00570BA4">
      <w:pPr>
        <w:pStyle w:val="PKTpunkt"/>
      </w:pPr>
      <w:r>
        <w:t>Tabela nr 11. Średni cykl życia w podziale na typy pojazdów</w:t>
      </w:r>
    </w:p>
    <w:tbl>
      <w:tblPr>
        <w:tblStyle w:val="TABELA1zszablonu"/>
        <w:tblW w:w="5000" w:type="pct"/>
        <w:tblLook w:val="04A0" w:firstRow="1" w:lastRow="0" w:firstColumn="1" w:lastColumn="0" w:noHBand="0" w:noVBand="1"/>
      </w:tblPr>
      <w:tblGrid>
        <w:gridCol w:w="5804"/>
        <w:gridCol w:w="3220"/>
      </w:tblGrid>
      <w:tr w:rsidR="00570BA4" w:rsidRPr="0069505F" w14:paraId="62B4805E" w14:textId="77777777" w:rsidTr="002E4CB3">
        <w:trPr>
          <w:trHeight w:val="1030"/>
        </w:trPr>
        <w:tc>
          <w:tcPr>
            <w:tcW w:w="3216" w:type="pct"/>
            <w:noWrap/>
            <w:hideMark/>
          </w:tcPr>
          <w:p w14:paraId="179C58B0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pojazdów</w:t>
            </w:r>
          </w:p>
        </w:tc>
        <w:tc>
          <w:tcPr>
            <w:tcW w:w="1784" w:type="pct"/>
            <w:hideMark/>
          </w:tcPr>
          <w:p w14:paraId="640303C5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Średni cykl życia [w latach]</w:t>
            </w:r>
          </w:p>
        </w:tc>
      </w:tr>
      <w:tr w:rsidR="00570BA4" w:rsidRPr="0069505F" w14:paraId="6E927699" w14:textId="77777777" w:rsidTr="002E4CB3">
        <w:trPr>
          <w:trHeight w:val="240"/>
        </w:trPr>
        <w:tc>
          <w:tcPr>
            <w:tcW w:w="3216" w:type="pct"/>
            <w:noWrap/>
            <w:hideMark/>
          </w:tcPr>
          <w:p w14:paraId="41AD9441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samochody osobowe</w:t>
            </w:r>
          </w:p>
        </w:tc>
        <w:tc>
          <w:tcPr>
            <w:tcW w:w="1784" w:type="pct"/>
            <w:noWrap/>
            <w:hideMark/>
          </w:tcPr>
          <w:p w14:paraId="3B1D4FFD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14,0</w:t>
            </w:r>
          </w:p>
        </w:tc>
      </w:tr>
      <w:tr w:rsidR="00570BA4" w:rsidRPr="0069505F" w14:paraId="4576ECF2" w14:textId="77777777" w:rsidTr="002E4CB3">
        <w:trPr>
          <w:trHeight w:val="240"/>
        </w:trPr>
        <w:tc>
          <w:tcPr>
            <w:tcW w:w="3216" w:type="pct"/>
            <w:noWrap/>
            <w:hideMark/>
          </w:tcPr>
          <w:p w14:paraId="03DCB5AF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dostawcze</w:t>
            </w:r>
          </w:p>
        </w:tc>
        <w:tc>
          <w:tcPr>
            <w:tcW w:w="1784" w:type="pct"/>
            <w:noWrap/>
            <w:hideMark/>
          </w:tcPr>
          <w:p w14:paraId="4532B5D8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13,5</w:t>
            </w:r>
          </w:p>
        </w:tc>
      </w:tr>
      <w:tr w:rsidR="00570BA4" w:rsidRPr="0069505F" w14:paraId="343320B0" w14:textId="77777777" w:rsidTr="002E4CB3">
        <w:trPr>
          <w:trHeight w:val="240"/>
        </w:trPr>
        <w:tc>
          <w:tcPr>
            <w:tcW w:w="3216" w:type="pct"/>
            <w:noWrap/>
            <w:hideMark/>
          </w:tcPr>
          <w:p w14:paraId="7E6CD2B5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ciężarowe</w:t>
            </w:r>
          </w:p>
        </w:tc>
        <w:tc>
          <w:tcPr>
            <w:tcW w:w="1784" w:type="pct"/>
            <w:noWrap/>
            <w:hideMark/>
          </w:tcPr>
          <w:p w14:paraId="2FDC5EF1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12,2</w:t>
            </w:r>
          </w:p>
        </w:tc>
      </w:tr>
      <w:tr w:rsidR="00570BA4" w:rsidRPr="0069505F" w14:paraId="44ACB77A" w14:textId="77777777" w:rsidTr="002E4CB3">
        <w:trPr>
          <w:trHeight w:val="240"/>
        </w:trPr>
        <w:tc>
          <w:tcPr>
            <w:tcW w:w="3216" w:type="pct"/>
            <w:noWrap/>
            <w:hideMark/>
          </w:tcPr>
          <w:p w14:paraId="2879D150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autobusy</w:t>
            </w:r>
          </w:p>
        </w:tc>
        <w:tc>
          <w:tcPr>
            <w:tcW w:w="1784" w:type="pct"/>
            <w:noWrap/>
            <w:hideMark/>
          </w:tcPr>
          <w:p w14:paraId="645FA794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15,6</w:t>
            </w:r>
          </w:p>
        </w:tc>
      </w:tr>
      <w:tr w:rsidR="00570BA4" w:rsidRPr="0069505F" w14:paraId="69372DCE" w14:textId="77777777" w:rsidTr="002E4CB3">
        <w:trPr>
          <w:trHeight w:val="240"/>
        </w:trPr>
        <w:tc>
          <w:tcPr>
            <w:tcW w:w="3216" w:type="pct"/>
            <w:noWrap/>
            <w:hideMark/>
          </w:tcPr>
          <w:p w14:paraId="31078D93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kategoria L</w:t>
            </w:r>
          </w:p>
        </w:tc>
        <w:tc>
          <w:tcPr>
            <w:tcW w:w="1784" w:type="pct"/>
            <w:noWrap/>
            <w:hideMark/>
          </w:tcPr>
          <w:p w14:paraId="09CF1A78" w14:textId="77777777" w:rsidR="00570BA4" w:rsidRPr="00570BA4" w:rsidRDefault="00570BA4" w:rsidP="00570BA4">
            <w:pPr>
              <w:pStyle w:val="TEKSTwTABELIWYRODKOWANYtekstwyrodkowanywpoziomie"/>
            </w:pPr>
            <w:r w:rsidRPr="00105434">
              <w:t>10,0</w:t>
            </w:r>
          </w:p>
        </w:tc>
      </w:tr>
    </w:tbl>
    <w:p w14:paraId="5B63453F" w14:textId="0ED8ACEF" w:rsidR="00570BA4" w:rsidRDefault="00570BA4" w:rsidP="00570BA4">
      <w:pPr>
        <w:pStyle w:val="PKTpunkt"/>
        <w:ind w:left="0" w:firstLine="0"/>
        <w:sectPr w:rsidR="00570BA4" w:rsidSect="00570BA4">
          <w:footnotePr>
            <w:numRestart w:val="eachSect"/>
          </w:footnotePr>
          <w:pgSz w:w="11906" w:h="16838"/>
          <w:pgMar w:top="1560" w:right="1434" w:bottom="1560" w:left="1418" w:header="709" w:footer="709" w:gutter="0"/>
          <w:cols w:space="708"/>
          <w:titlePg/>
          <w:docGrid w:linePitch="326"/>
        </w:sectPr>
      </w:pPr>
    </w:p>
    <w:p w14:paraId="77614FC0" w14:textId="1D056ACD" w:rsidR="00B200A8" w:rsidRDefault="00B200A8" w:rsidP="00B200A8">
      <w:pPr>
        <w:pStyle w:val="OZNZACZNIKAwskazanienrzacznika"/>
      </w:pPr>
      <w:r>
        <w:lastRenderedPageBreak/>
        <w:t>Załącznik nr 4</w:t>
      </w:r>
    </w:p>
    <w:p w14:paraId="72D16357" w14:textId="0B5C889A" w:rsidR="00B200A8" w:rsidRPr="008C5855" w:rsidRDefault="00B200A8" w:rsidP="00B200A8">
      <w:pPr>
        <w:pStyle w:val="LITlitera"/>
        <w:rPr>
          <w:rStyle w:val="Ppogrubienie"/>
        </w:rPr>
      </w:pPr>
      <w:r w:rsidRPr="008C5855">
        <w:rPr>
          <w:rStyle w:val="Ppogrubienie"/>
        </w:rPr>
        <w:t>Tabela 1. Wartości współczynnika nakładu nieodnawialnej energii pierwotnej dla poszczególnych nośników energii</w:t>
      </w:r>
    </w:p>
    <w:tbl>
      <w:tblPr>
        <w:tblW w:w="90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483"/>
        <w:gridCol w:w="3178"/>
        <w:gridCol w:w="2675"/>
      </w:tblGrid>
      <w:tr w:rsidR="00B200A8" w:rsidRPr="003C750C" w14:paraId="6165362D" w14:textId="77777777" w:rsidTr="004727E8">
        <w:trPr>
          <w:cantSplit/>
          <w:trHeight w:val="1118"/>
        </w:trPr>
        <w:tc>
          <w:tcPr>
            <w:tcW w:w="709" w:type="dxa"/>
          </w:tcPr>
          <w:p w14:paraId="65DCE77B" w14:textId="77777777" w:rsidR="00B200A8" w:rsidRPr="008C5855" w:rsidRDefault="00B200A8" w:rsidP="00B200A8">
            <w:pPr>
              <w:pStyle w:val="TEKSTwTABELIWYRODKOWANYtekstwyrodkowanywpoziomie"/>
              <w:rPr>
                <w:rStyle w:val="Ppogrubienie"/>
              </w:rPr>
            </w:pPr>
            <w:r w:rsidRPr="008C5855">
              <w:rPr>
                <w:rStyle w:val="Ppogrubienie"/>
              </w:rPr>
              <w:t>Lp.</w:t>
            </w:r>
          </w:p>
        </w:tc>
        <w:tc>
          <w:tcPr>
            <w:tcW w:w="5661" w:type="dxa"/>
            <w:gridSpan w:val="2"/>
          </w:tcPr>
          <w:p w14:paraId="66A942A8" w14:textId="77777777" w:rsidR="00B200A8" w:rsidRPr="008C5855" w:rsidRDefault="00B200A8" w:rsidP="00B200A8">
            <w:pPr>
              <w:pStyle w:val="TEKSTwTABELIWYRODKOWANYtekstwyrodkowanywpoziomie"/>
              <w:rPr>
                <w:rStyle w:val="Ppogrubienie"/>
              </w:rPr>
            </w:pPr>
            <w:r w:rsidRPr="008C5855">
              <w:rPr>
                <w:rStyle w:val="Ppogrubienie"/>
              </w:rPr>
              <w:t xml:space="preserve">Rodzaj nośnika energii </w:t>
            </w:r>
          </w:p>
        </w:tc>
        <w:tc>
          <w:tcPr>
            <w:tcW w:w="2675" w:type="dxa"/>
          </w:tcPr>
          <w:p w14:paraId="066F133B" w14:textId="77777777" w:rsidR="00B200A8" w:rsidRPr="008C5855" w:rsidRDefault="00B200A8" w:rsidP="00B200A8">
            <w:pPr>
              <w:pStyle w:val="TEKSTwTABELIWYRODKOWANYtekstwyrodkowanywpoziomie"/>
              <w:rPr>
                <w:rStyle w:val="Ppogrubienie"/>
              </w:rPr>
            </w:pPr>
            <w:r w:rsidRPr="008C5855">
              <w:rPr>
                <w:rStyle w:val="Ppogrubienie"/>
              </w:rPr>
              <w:t>Współczynnik nakładu nieodnawialnej energii pierwotnej</w:t>
            </w:r>
          </w:p>
          <w:p w14:paraId="6E417CFF" w14:textId="77777777" w:rsidR="00B200A8" w:rsidRPr="008C5855" w:rsidRDefault="00B200A8" w:rsidP="00B200A8">
            <w:pPr>
              <w:pStyle w:val="TEKSTwTABELIWYRODKOWANYtekstwyrodkowanywpoziomie"/>
              <w:rPr>
                <w:rStyle w:val="PKpogrubieniekursywa"/>
              </w:rPr>
            </w:pPr>
            <w:proofErr w:type="spellStart"/>
            <w:r w:rsidRPr="008C5855">
              <w:rPr>
                <w:rStyle w:val="PKpogrubieniekursywa"/>
              </w:rPr>
              <w:t>w</w:t>
            </w:r>
            <w:r w:rsidRPr="008C5855">
              <w:rPr>
                <w:rStyle w:val="IDPindeksdolnyipogrubienie"/>
              </w:rPr>
              <w:t>P</w:t>
            </w:r>
            <w:proofErr w:type="spellEnd"/>
            <w:r w:rsidRPr="008C5855">
              <w:rPr>
                <w:rStyle w:val="PKpogrubieniekursywa"/>
              </w:rPr>
              <w:t xml:space="preserve">, </w:t>
            </w:r>
            <w:proofErr w:type="spellStart"/>
            <w:r w:rsidRPr="008C5855">
              <w:rPr>
                <w:rStyle w:val="PKpogrubieniekursywa"/>
              </w:rPr>
              <w:t>w</w:t>
            </w:r>
            <w:r w:rsidRPr="008C5855">
              <w:rPr>
                <w:rStyle w:val="IDPindeksdolnyipogrubienie"/>
              </w:rPr>
              <w:t>el</w:t>
            </w:r>
            <w:proofErr w:type="spellEnd"/>
          </w:p>
        </w:tc>
      </w:tr>
      <w:tr w:rsidR="00B200A8" w:rsidRPr="003C750C" w14:paraId="2F84B5E5" w14:textId="77777777" w:rsidTr="004727E8">
        <w:trPr>
          <w:cantSplit/>
          <w:trHeight w:val="444"/>
        </w:trPr>
        <w:tc>
          <w:tcPr>
            <w:tcW w:w="709" w:type="dxa"/>
            <w:tcBorders>
              <w:top w:val="double" w:sz="4" w:space="0" w:color="auto"/>
            </w:tcBorders>
          </w:tcPr>
          <w:p w14:paraId="02DC39CA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1</w:t>
            </w:r>
          </w:p>
        </w:tc>
        <w:tc>
          <w:tcPr>
            <w:tcW w:w="2483" w:type="dxa"/>
            <w:vMerge w:val="restart"/>
            <w:tcBorders>
              <w:top w:val="double" w:sz="4" w:space="0" w:color="auto"/>
            </w:tcBorders>
          </w:tcPr>
          <w:p w14:paraId="55A19AE7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Paliwo/źródło energii</w:t>
            </w:r>
          </w:p>
        </w:tc>
        <w:tc>
          <w:tcPr>
            <w:tcW w:w="3178" w:type="dxa"/>
            <w:tcBorders>
              <w:top w:val="double" w:sz="4" w:space="0" w:color="auto"/>
            </w:tcBorders>
            <w:vAlign w:val="center"/>
          </w:tcPr>
          <w:p w14:paraId="33C06351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Olej opałowy</w:t>
            </w:r>
          </w:p>
        </w:tc>
        <w:tc>
          <w:tcPr>
            <w:tcW w:w="2675" w:type="dxa"/>
            <w:tcBorders>
              <w:top w:val="double" w:sz="4" w:space="0" w:color="auto"/>
            </w:tcBorders>
            <w:vAlign w:val="center"/>
          </w:tcPr>
          <w:p w14:paraId="76AEEB45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1,1</w:t>
            </w:r>
          </w:p>
        </w:tc>
      </w:tr>
      <w:tr w:rsidR="00B200A8" w:rsidRPr="003C750C" w14:paraId="5C3BBF17" w14:textId="77777777" w:rsidTr="004727E8">
        <w:trPr>
          <w:cantSplit/>
          <w:trHeight w:val="522"/>
        </w:trPr>
        <w:tc>
          <w:tcPr>
            <w:tcW w:w="709" w:type="dxa"/>
          </w:tcPr>
          <w:p w14:paraId="1142E78A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2</w:t>
            </w:r>
          </w:p>
        </w:tc>
        <w:tc>
          <w:tcPr>
            <w:tcW w:w="0" w:type="auto"/>
            <w:vMerge/>
            <w:vAlign w:val="center"/>
          </w:tcPr>
          <w:p w14:paraId="4EB94856" w14:textId="77777777" w:rsidR="00B200A8" w:rsidRPr="00105434" w:rsidRDefault="00B200A8" w:rsidP="00B200A8">
            <w:pPr>
              <w:pStyle w:val="TEKSTwTABELIWYRODKOWANYtekstwyrodkowanywpoziomie"/>
            </w:pPr>
          </w:p>
        </w:tc>
        <w:tc>
          <w:tcPr>
            <w:tcW w:w="3178" w:type="dxa"/>
            <w:vAlign w:val="center"/>
          </w:tcPr>
          <w:p w14:paraId="3518F5B7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Gaz ziemny</w:t>
            </w:r>
          </w:p>
        </w:tc>
        <w:tc>
          <w:tcPr>
            <w:tcW w:w="2675" w:type="dxa"/>
            <w:vAlign w:val="center"/>
          </w:tcPr>
          <w:p w14:paraId="19974B98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1,1</w:t>
            </w:r>
          </w:p>
        </w:tc>
      </w:tr>
      <w:tr w:rsidR="00B200A8" w:rsidRPr="003C750C" w14:paraId="510AD1F3" w14:textId="77777777" w:rsidTr="004727E8">
        <w:trPr>
          <w:cantSplit/>
          <w:trHeight w:val="522"/>
        </w:trPr>
        <w:tc>
          <w:tcPr>
            <w:tcW w:w="709" w:type="dxa"/>
          </w:tcPr>
          <w:p w14:paraId="7B1EAA05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3</w:t>
            </w:r>
          </w:p>
        </w:tc>
        <w:tc>
          <w:tcPr>
            <w:tcW w:w="0" w:type="auto"/>
            <w:vMerge/>
            <w:vAlign w:val="center"/>
          </w:tcPr>
          <w:p w14:paraId="626D8BC2" w14:textId="77777777" w:rsidR="00B200A8" w:rsidRPr="00105434" w:rsidRDefault="00B200A8" w:rsidP="00B200A8">
            <w:pPr>
              <w:pStyle w:val="TEKSTwTABELIWYRODKOWANYtekstwyrodkowanywpoziomie"/>
            </w:pPr>
          </w:p>
        </w:tc>
        <w:tc>
          <w:tcPr>
            <w:tcW w:w="3178" w:type="dxa"/>
            <w:vAlign w:val="center"/>
          </w:tcPr>
          <w:p w14:paraId="1F977AC1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Gaz płynny</w:t>
            </w:r>
          </w:p>
        </w:tc>
        <w:tc>
          <w:tcPr>
            <w:tcW w:w="2675" w:type="dxa"/>
            <w:vAlign w:val="center"/>
          </w:tcPr>
          <w:p w14:paraId="114CF976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1,1</w:t>
            </w:r>
          </w:p>
        </w:tc>
      </w:tr>
      <w:tr w:rsidR="00B200A8" w:rsidRPr="003C750C" w14:paraId="33972036" w14:textId="77777777" w:rsidTr="004727E8">
        <w:trPr>
          <w:cantSplit/>
          <w:trHeight w:val="507"/>
        </w:trPr>
        <w:tc>
          <w:tcPr>
            <w:tcW w:w="709" w:type="dxa"/>
          </w:tcPr>
          <w:p w14:paraId="272525F4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4</w:t>
            </w:r>
          </w:p>
        </w:tc>
        <w:tc>
          <w:tcPr>
            <w:tcW w:w="0" w:type="auto"/>
            <w:vMerge/>
            <w:vAlign w:val="center"/>
          </w:tcPr>
          <w:p w14:paraId="572DD0D7" w14:textId="77777777" w:rsidR="00B200A8" w:rsidRPr="00105434" w:rsidRDefault="00B200A8" w:rsidP="00B200A8">
            <w:pPr>
              <w:pStyle w:val="TEKSTwTABELIWYRODKOWANYtekstwyrodkowanywpoziomie"/>
            </w:pPr>
          </w:p>
        </w:tc>
        <w:tc>
          <w:tcPr>
            <w:tcW w:w="3178" w:type="dxa"/>
            <w:vAlign w:val="center"/>
          </w:tcPr>
          <w:p w14:paraId="13B1A1B9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Węgiel kamienny</w:t>
            </w:r>
          </w:p>
        </w:tc>
        <w:tc>
          <w:tcPr>
            <w:tcW w:w="2675" w:type="dxa"/>
            <w:vAlign w:val="center"/>
          </w:tcPr>
          <w:p w14:paraId="2095F2FA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1,1</w:t>
            </w:r>
          </w:p>
        </w:tc>
      </w:tr>
      <w:tr w:rsidR="00B200A8" w:rsidRPr="003C750C" w14:paraId="224FFD5C" w14:textId="77777777" w:rsidTr="004727E8">
        <w:trPr>
          <w:cantSplit/>
          <w:trHeight w:val="522"/>
        </w:trPr>
        <w:tc>
          <w:tcPr>
            <w:tcW w:w="709" w:type="dxa"/>
          </w:tcPr>
          <w:p w14:paraId="47BB84B8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5</w:t>
            </w:r>
          </w:p>
        </w:tc>
        <w:tc>
          <w:tcPr>
            <w:tcW w:w="0" w:type="auto"/>
            <w:vMerge/>
            <w:vAlign w:val="center"/>
          </w:tcPr>
          <w:p w14:paraId="7FDF5D28" w14:textId="77777777" w:rsidR="00B200A8" w:rsidRPr="00105434" w:rsidRDefault="00B200A8" w:rsidP="00B200A8">
            <w:pPr>
              <w:pStyle w:val="TEKSTwTABELIWYRODKOWANYtekstwyrodkowanywpoziomie"/>
            </w:pPr>
          </w:p>
        </w:tc>
        <w:tc>
          <w:tcPr>
            <w:tcW w:w="3178" w:type="dxa"/>
            <w:vAlign w:val="center"/>
          </w:tcPr>
          <w:p w14:paraId="3705D153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Węgiel brunatny</w:t>
            </w:r>
          </w:p>
        </w:tc>
        <w:tc>
          <w:tcPr>
            <w:tcW w:w="2675" w:type="dxa"/>
            <w:vAlign w:val="center"/>
          </w:tcPr>
          <w:p w14:paraId="753C387D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1,1</w:t>
            </w:r>
          </w:p>
        </w:tc>
      </w:tr>
      <w:tr w:rsidR="00B200A8" w:rsidRPr="003C750C" w14:paraId="0CC64CAA" w14:textId="77777777" w:rsidTr="004727E8">
        <w:trPr>
          <w:cantSplit/>
          <w:trHeight w:val="507"/>
        </w:trPr>
        <w:tc>
          <w:tcPr>
            <w:tcW w:w="709" w:type="dxa"/>
          </w:tcPr>
          <w:p w14:paraId="71B78644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6</w:t>
            </w:r>
          </w:p>
        </w:tc>
        <w:tc>
          <w:tcPr>
            <w:tcW w:w="0" w:type="auto"/>
            <w:vMerge/>
            <w:vAlign w:val="center"/>
          </w:tcPr>
          <w:p w14:paraId="28A6C25C" w14:textId="77777777" w:rsidR="00B200A8" w:rsidRPr="00105434" w:rsidRDefault="00B200A8" w:rsidP="00B200A8">
            <w:pPr>
              <w:pStyle w:val="TEKSTwTABELIWYRODKOWANYtekstwyrodkowanywpoziomie"/>
            </w:pPr>
          </w:p>
        </w:tc>
        <w:tc>
          <w:tcPr>
            <w:tcW w:w="3178" w:type="dxa"/>
            <w:vAlign w:val="center"/>
          </w:tcPr>
          <w:p w14:paraId="207B0D61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Biomasa</w:t>
            </w:r>
          </w:p>
        </w:tc>
        <w:tc>
          <w:tcPr>
            <w:tcW w:w="2675" w:type="dxa"/>
            <w:vAlign w:val="center"/>
          </w:tcPr>
          <w:p w14:paraId="2BBD006E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0,2</w:t>
            </w:r>
          </w:p>
        </w:tc>
      </w:tr>
      <w:tr w:rsidR="00B200A8" w:rsidRPr="003C750C" w14:paraId="35960D34" w14:textId="77777777" w:rsidTr="004727E8">
        <w:trPr>
          <w:cantSplit/>
          <w:trHeight w:val="311"/>
        </w:trPr>
        <w:tc>
          <w:tcPr>
            <w:tcW w:w="709" w:type="dxa"/>
          </w:tcPr>
          <w:p w14:paraId="2E77BAEC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7</w:t>
            </w:r>
          </w:p>
        </w:tc>
        <w:tc>
          <w:tcPr>
            <w:tcW w:w="0" w:type="auto"/>
            <w:vMerge/>
            <w:vAlign w:val="center"/>
          </w:tcPr>
          <w:p w14:paraId="424ACD2C" w14:textId="77777777" w:rsidR="00B200A8" w:rsidRPr="00105434" w:rsidRDefault="00B200A8" w:rsidP="00B200A8">
            <w:pPr>
              <w:pStyle w:val="TEKSTwTABELIWYRODKOWANYtekstwyrodkowanywpoziomie"/>
            </w:pPr>
          </w:p>
        </w:tc>
        <w:tc>
          <w:tcPr>
            <w:tcW w:w="3178" w:type="dxa"/>
            <w:vAlign w:val="center"/>
          </w:tcPr>
          <w:p w14:paraId="4AADD7DE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Biogaz</w:t>
            </w:r>
          </w:p>
        </w:tc>
        <w:tc>
          <w:tcPr>
            <w:tcW w:w="2675" w:type="dxa"/>
            <w:vAlign w:val="center"/>
          </w:tcPr>
          <w:p w14:paraId="0A3F330C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0,5</w:t>
            </w:r>
          </w:p>
        </w:tc>
      </w:tr>
      <w:tr w:rsidR="00B200A8" w:rsidRPr="003C750C" w14:paraId="2BADA82C" w14:textId="77777777" w:rsidTr="004727E8">
        <w:trPr>
          <w:cantSplit/>
          <w:trHeight w:val="361"/>
        </w:trPr>
        <w:tc>
          <w:tcPr>
            <w:tcW w:w="709" w:type="dxa"/>
          </w:tcPr>
          <w:p w14:paraId="5885666C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8</w:t>
            </w:r>
          </w:p>
        </w:tc>
        <w:tc>
          <w:tcPr>
            <w:tcW w:w="2483" w:type="dxa"/>
            <w:vMerge/>
          </w:tcPr>
          <w:p w14:paraId="10B7119B" w14:textId="77777777" w:rsidR="00B200A8" w:rsidRPr="00105434" w:rsidRDefault="00B200A8" w:rsidP="00B200A8">
            <w:pPr>
              <w:pStyle w:val="TEKSTwTABELIWYRODKOWANYtekstwyrodkowanywpoziomie"/>
            </w:pPr>
          </w:p>
        </w:tc>
        <w:tc>
          <w:tcPr>
            <w:tcW w:w="3178" w:type="dxa"/>
            <w:vAlign w:val="center"/>
          </w:tcPr>
          <w:p w14:paraId="5A2B2F04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 xml:space="preserve">Energia słoneczna </w:t>
            </w:r>
          </w:p>
        </w:tc>
        <w:tc>
          <w:tcPr>
            <w:tcW w:w="2675" w:type="dxa"/>
            <w:vAlign w:val="center"/>
          </w:tcPr>
          <w:p w14:paraId="45B77FC6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0,0</w:t>
            </w:r>
          </w:p>
        </w:tc>
      </w:tr>
      <w:tr w:rsidR="00B200A8" w:rsidRPr="003C750C" w14:paraId="4CC5C822" w14:textId="77777777" w:rsidTr="004727E8">
        <w:trPr>
          <w:cantSplit/>
          <w:trHeight w:val="361"/>
        </w:trPr>
        <w:tc>
          <w:tcPr>
            <w:tcW w:w="709" w:type="dxa"/>
          </w:tcPr>
          <w:p w14:paraId="40196046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9</w:t>
            </w:r>
          </w:p>
        </w:tc>
        <w:tc>
          <w:tcPr>
            <w:tcW w:w="2483" w:type="dxa"/>
            <w:vMerge/>
          </w:tcPr>
          <w:p w14:paraId="288F316D" w14:textId="77777777" w:rsidR="00B200A8" w:rsidRPr="00105434" w:rsidRDefault="00B200A8" w:rsidP="00B200A8">
            <w:pPr>
              <w:pStyle w:val="TEKSTwTABELIWYRODKOWANYtekstwyrodkowanywpoziomie"/>
            </w:pPr>
          </w:p>
        </w:tc>
        <w:tc>
          <w:tcPr>
            <w:tcW w:w="3178" w:type="dxa"/>
            <w:vAlign w:val="center"/>
          </w:tcPr>
          <w:p w14:paraId="1867EDD4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Energia wiatrowa</w:t>
            </w:r>
          </w:p>
        </w:tc>
        <w:tc>
          <w:tcPr>
            <w:tcW w:w="2675" w:type="dxa"/>
            <w:vAlign w:val="center"/>
          </w:tcPr>
          <w:p w14:paraId="661B9F93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0,0</w:t>
            </w:r>
          </w:p>
        </w:tc>
      </w:tr>
      <w:tr w:rsidR="00B200A8" w:rsidRPr="003C750C" w14:paraId="6C6DBA96" w14:textId="77777777" w:rsidTr="004727E8">
        <w:trPr>
          <w:cantSplit/>
          <w:trHeight w:val="361"/>
        </w:trPr>
        <w:tc>
          <w:tcPr>
            <w:tcW w:w="709" w:type="dxa"/>
          </w:tcPr>
          <w:p w14:paraId="5A9B923F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10</w:t>
            </w:r>
          </w:p>
        </w:tc>
        <w:tc>
          <w:tcPr>
            <w:tcW w:w="2483" w:type="dxa"/>
            <w:vMerge/>
          </w:tcPr>
          <w:p w14:paraId="1D46692F" w14:textId="77777777" w:rsidR="00B200A8" w:rsidRPr="00105434" w:rsidRDefault="00B200A8" w:rsidP="00B200A8">
            <w:pPr>
              <w:pStyle w:val="TEKSTwTABELIWYRODKOWANYtekstwyrodkowanywpoziomie"/>
            </w:pPr>
          </w:p>
        </w:tc>
        <w:tc>
          <w:tcPr>
            <w:tcW w:w="3178" w:type="dxa"/>
            <w:vAlign w:val="center"/>
          </w:tcPr>
          <w:p w14:paraId="313DF1F0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Energia geotermalna</w:t>
            </w:r>
          </w:p>
        </w:tc>
        <w:tc>
          <w:tcPr>
            <w:tcW w:w="2675" w:type="dxa"/>
            <w:vAlign w:val="center"/>
          </w:tcPr>
          <w:p w14:paraId="30775111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0,0</w:t>
            </w:r>
          </w:p>
        </w:tc>
      </w:tr>
      <w:tr w:rsidR="00B200A8" w:rsidRPr="003C750C" w14:paraId="247E0C36" w14:textId="77777777" w:rsidTr="004727E8">
        <w:trPr>
          <w:cantSplit/>
          <w:trHeight w:val="311"/>
        </w:trPr>
        <w:tc>
          <w:tcPr>
            <w:tcW w:w="709" w:type="dxa"/>
          </w:tcPr>
          <w:p w14:paraId="489BFC49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11</w:t>
            </w:r>
          </w:p>
        </w:tc>
        <w:tc>
          <w:tcPr>
            <w:tcW w:w="0" w:type="auto"/>
            <w:vMerge/>
            <w:vAlign w:val="center"/>
          </w:tcPr>
          <w:p w14:paraId="232A56A9" w14:textId="77777777" w:rsidR="00B200A8" w:rsidRPr="00105434" w:rsidRDefault="00B200A8" w:rsidP="00B200A8">
            <w:pPr>
              <w:pStyle w:val="TEKSTwTABELIWYRODKOWANYtekstwyrodkowanywpoziomie"/>
            </w:pPr>
          </w:p>
        </w:tc>
        <w:tc>
          <w:tcPr>
            <w:tcW w:w="3178" w:type="dxa"/>
            <w:vAlign w:val="center"/>
          </w:tcPr>
          <w:p w14:paraId="2A4B5894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Ciepło odpadowe z przemysłu</w:t>
            </w:r>
          </w:p>
        </w:tc>
        <w:tc>
          <w:tcPr>
            <w:tcW w:w="2675" w:type="dxa"/>
            <w:vAlign w:val="center"/>
          </w:tcPr>
          <w:p w14:paraId="2791EEAC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0,05</w:t>
            </w:r>
          </w:p>
        </w:tc>
      </w:tr>
      <w:tr w:rsidR="00B200A8" w:rsidRPr="003C750C" w14:paraId="4FF84B79" w14:textId="77777777" w:rsidTr="004727E8">
        <w:trPr>
          <w:cantSplit/>
          <w:trHeight w:val="311"/>
        </w:trPr>
        <w:tc>
          <w:tcPr>
            <w:tcW w:w="709" w:type="dxa"/>
          </w:tcPr>
          <w:p w14:paraId="12A73149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12</w:t>
            </w:r>
          </w:p>
        </w:tc>
        <w:tc>
          <w:tcPr>
            <w:tcW w:w="0" w:type="auto"/>
            <w:vMerge/>
            <w:vAlign w:val="center"/>
          </w:tcPr>
          <w:p w14:paraId="331A83CE" w14:textId="77777777" w:rsidR="00B200A8" w:rsidRPr="00105434" w:rsidRDefault="00B200A8" w:rsidP="00B200A8">
            <w:pPr>
              <w:pStyle w:val="TEKSTwTABELIWYRODKOWANYtekstwyrodkowanywpoziomie"/>
            </w:pPr>
          </w:p>
        </w:tc>
        <w:tc>
          <w:tcPr>
            <w:tcW w:w="3178" w:type="dxa"/>
            <w:vAlign w:val="center"/>
          </w:tcPr>
          <w:p w14:paraId="1B3F37DA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Olej napędowy</w:t>
            </w:r>
          </w:p>
        </w:tc>
        <w:tc>
          <w:tcPr>
            <w:tcW w:w="2675" w:type="dxa"/>
            <w:vAlign w:val="center"/>
          </w:tcPr>
          <w:p w14:paraId="634E5AA5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1,1</w:t>
            </w:r>
          </w:p>
        </w:tc>
      </w:tr>
      <w:tr w:rsidR="00B200A8" w:rsidRPr="003C750C" w14:paraId="6DBF4C0C" w14:textId="77777777" w:rsidTr="004727E8">
        <w:trPr>
          <w:cantSplit/>
          <w:trHeight w:val="311"/>
        </w:trPr>
        <w:tc>
          <w:tcPr>
            <w:tcW w:w="709" w:type="dxa"/>
          </w:tcPr>
          <w:p w14:paraId="03745181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13</w:t>
            </w:r>
          </w:p>
        </w:tc>
        <w:tc>
          <w:tcPr>
            <w:tcW w:w="0" w:type="auto"/>
            <w:vMerge/>
            <w:vAlign w:val="center"/>
          </w:tcPr>
          <w:p w14:paraId="20676E99" w14:textId="77777777" w:rsidR="00B200A8" w:rsidRPr="00105434" w:rsidRDefault="00B200A8" w:rsidP="00B200A8">
            <w:pPr>
              <w:pStyle w:val="TEKSTwTABELIWYRODKOWANYtekstwyrodkowanywpoziomie"/>
            </w:pPr>
          </w:p>
        </w:tc>
        <w:tc>
          <w:tcPr>
            <w:tcW w:w="3178" w:type="dxa"/>
            <w:vAlign w:val="center"/>
          </w:tcPr>
          <w:p w14:paraId="3B0AA7EB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Benzyna</w:t>
            </w:r>
          </w:p>
        </w:tc>
        <w:tc>
          <w:tcPr>
            <w:tcW w:w="2675" w:type="dxa"/>
            <w:vAlign w:val="center"/>
          </w:tcPr>
          <w:p w14:paraId="22D8AF06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1,1</w:t>
            </w:r>
          </w:p>
        </w:tc>
      </w:tr>
      <w:tr w:rsidR="00B200A8" w:rsidRPr="003C750C" w14:paraId="60FF7E89" w14:textId="77777777" w:rsidTr="004727E8">
        <w:trPr>
          <w:cantSplit/>
          <w:trHeight w:val="311"/>
        </w:trPr>
        <w:tc>
          <w:tcPr>
            <w:tcW w:w="709" w:type="dxa"/>
          </w:tcPr>
          <w:p w14:paraId="5ED56484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14</w:t>
            </w:r>
          </w:p>
        </w:tc>
        <w:tc>
          <w:tcPr>
            <w:tcW w:w="0" w:type="auto"/>
            <w:vMerge/>
            <w:vAlign w:val="center"/>
          </w:tcPr>
          <w:p w14:paraId="3B7DF50B" w14:textId="77777777" w:rsidR="00B200A8" w:rsidRPr="00105434" w:rsidRDefault="00B200A8" w:rsidP="00B200A8">
            <w:pPr>
              <w:pStyle w:val="TEKSTwTABELIWYRODKOWANYtekstwyrodkowanywpoziomie"/>
            </w:pPr>
          </w:p>
        </w:tc>
        <w:tc>
          <w:tcPr>
            <w:tcW w:w="3178" w:type="dxa"/>
            <w:vAlign w:val="center"/>
          </w:tcPr>
          <w:p w14:paraId="6A2E7FB5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LPG</w:t>
            </w:r>
          </w:p>
        </w:tc>
        <w:tc>
          <w:tcPr>
            <w:tcW w:w="2675" w:type="dxa"/>
            <w:vAlign w:val="center"/>
          </w:tcPr>
          <w:p w14:paraId="14E6455B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1,1</w:t>
            </w:r>
          </w:p>
        </w:tc>
      </w:tr>
      <w:tr w:rsidR="00B200A8" w:rsidRPr="003C750C" w14:paraId="3497A744" w14:textId="77777777" w:rsidTr="004727E8">
        <w:trPr>
          <w:cantSplit/>
          <w:trHeight w:val="311"/>
        </w:trPr>
        <w:tc>
          <w:tcPr>
            <w:tcW w:w="709" w:type="dxa"/>
          </w:tcPr>
          <w:p w14:paraId="44A63CBD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15</w:t>
            </w:r>
          </w:p>
        </w:tc>
        <w:tc>
          <w:tcPr>
            <w:tcW w:w="0" w:type="auto"/>
            <w:vMerge/>
            <w:vAlign w:val="center"/>
          </w:tcPr>
          <w:p w14:paraId="3874F8E0" w14:textId="77777777" w:rsidR="00B200A8" w:rsidRPr="00105434" w:rsidRDefault="00B200A8" w:rsidP="00B200A8">
            <w:pPr>
              <w:pStyle w:val="TEKSTwTABELIWYRODKOWANYtekstwyrodkowanywpoziomie"/>
            </w:pPr>
          </w:p>
        </w:tc>
        <w:tc>
          <w:tcPr>
            <w:tcW w:w="3178" w:type="dxa"/>
            <w:vAlign w:val="center"/>
          </w:tcPr>
          <w:p w14:paraId="7A7C7786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Wodór (energia elektryczna z produkcji mieszanej)</w:t>
            </w:r>
          </w:p>
        </w:tc>
        <w:tc>
          <w:tcPr>
            <w:tcW w:w="2675" w:type="dxa"/>
            <w:vAlign w:val="center"/>
          </w:tcPr>
          <w:p w14:paraId="14023AD5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4,3</w:t>
            </w:r>
          </w:p>
        </w:tc>
      </w:tr>
      <w:tr w:rsidR="00B200A8" w:rsidRPr="003C750C" w14:paraId="10640FBB" w14:textId="77777777" w:rsidTr="004727E8">
        <w:trPr>
          <w:cantSplit/>
          <w:trHeight w:val="311"/>
        </w:trPr>
        <w:tc>
          <w:tcPr>
            <w:tcW w:w="709" w:type="dxa"/>
          </w:tcPr>
          <w:p w14:paraId="38F8A3C9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16</w:t>
            </w:r>
          </w:p>
        </w:tc>
        <w:tc>
          <w:tcPr>
            <w:tcW w:w="0" w:type="auto"/>
            <w:vMerge/>
            <w:vAlign w:val="center"/>
          </w:tcPr>
          <w:p w14:paraId="35B025D2" w14:textId="77777777" w:rsidR="00B200A8" w:rsidRPr="00105434" w:rsidRDefault="00B200A8" w:rsidP="00B200A8">
            <w:pPr>
              <w:pStyle w:val="TEKSTwTABELIWYRODKOWANYtekstwyrodkowanywpoziomie"/>
            </w:pPr>
          </w:p>
        </w:tc>
        <w:tc>
          <w:tcPr>
            <w:tcW w:w="3178" w:type="dxa"/>
            <w:vAlign w:val="center"/>
          </w:tcPr>
          <w:p w14:paraId="41A7ADEC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 xml:space="preserve">Wodór (energia </w:t>
            </w:r>
            <w:r w:rsidRPr="00B200A8">
              <w:t>elektryczna z PV)</w:t>
            </w:r>
          </w:p>
        </w:tc>
        <w:tc>
          <w:tcPr>
            <w:tcW w:w="2675" w:type="dxa"/>
            <w:vAlign w:val="center"/>
          </w:tcPr>
          <w:p w14:paraId="58C81F42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3,3</w:t>
            </w:r>
          </w:p>
        </w:tc>
      </w:tr>
      <w:tr w:rsidR="00B200A8" w:rsidRPr="003C750C" w14:paraId="611914BE" w14:textId="77777777" w:rsidTr="004727E8">
        <w:trPr>
          <w:cantSplit/>
          <w:trHeight w:val="311"/>
        </w:trPr>
        <w:tc>
          <w:tcPr>
            <w:tcW w:w="709" w:type="dxa"/>
          </w:tcPr>
          <w:p w14:paraId="69BC29DC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17</w:t>
            </w:r>
          </w:p>
        </w:tc>
        <w:tc>
          <w:tcPr>
            <w:tcW w:w="0" w:type="auto"/>
            <w:vMerge/>
            <w:vAlign w:val="center"/>
          </w:tcPr>
          <w:p w14:paraId="729ECE36" w14:textId="77777777" w:rsidR="00B200A8" w:rsidRPr="00105434" w:rsidRDefault="00B200A8" w:rsidP="00B200A8">
            <w:pPr>
              <w:pStyle w:val="TEKSTwTABELIWYRODKOWANYtekstwyrodkowanywpoziomie"/>
            </w:pPr>
          </w:p>
        </w:tc>
        <w:tc>
          <w:tcPr>
            <w:tcW w:w="3178" w:type="dxa"/>
            <w:vAlign w:val="center"/>
          </w:tcPr>
          <w:p w14:paraId="5159E008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Wodór (energia elektryczna z pozostałych odnawialnych źródeł energii)</w:t>
            </w:r>
          </w:p>
        </w:tc>
        <w:tc>
          <w:tcPr>
            <w:tcW w:w="2675" w:type="dxa"/>
            <w:vAlign w:val="center"/>
          </w:tcPr>
          <w:p w14:paraId="7FF47AD4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2,5</w:t>
            </w:r>
          </w:p>
        </w:tc>
      </w:tr>
      <w:tr w:rsidR="00B200A8" w:rsidRPr="003C750C" w14:paraId="66C6A2AC" w14:textId="77777777" w:rsidTr="004727E8">
        <w:trPr>
          <w:cantSplit/>
          <w:trHeight w:val="311"/>
        </w:trPr>
        <w:tc>
          <w:tcPr>
            <w:tcW w:w="709" w:type="dxa"/>
          </w:tcPr>
          <w:p w14:paraId="1A3DB570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18</w:t>
            </w:r>
          </w:p>
        </w:tc>
        <w:tc>
          <w:tcPr>
            <w:tcW w:w="0" w:type="auto"/>
            <w:vMerge/>
            <w:vAlign w:val="center"/>
          </w:tcPr>
          <w:p w14:paraId="4C663931" w14:textId="77777777" w:rsidR="00B200A8" w:rsidRPr="00105434" w:rsidRDefault="00B200A8" w:rsidP="00B200A8">
            <w:pPr>
              <w:pStyle w:val="TEKSTwTABELIWYRODKOWANYtekstwyrodkowanywpoziomie"/>
            </w:pPr>
          </w:p>
        </w:tc>
        <w:tc>
          <w:tcPr>
            <w:tcW w:w="3178" w:type="dxa"/>
            <w:vAlign w:val="center"/>
          </w:tcPr>
          <w:p w14:paraId="08ACECCA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Wodór (reforming parowy metanu)</w:t>
            </w:r>
          </w:p>
        </w:tc>
        <w:tc>
          <w:tcPr>
            <w:tcW w:w="2675" w:type="dxa"/>
            <w:vAlign w:val="center"/>
          </w:tcPr>
          <w:p w14:paraId="6D04A8A5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2,2</w:t>
            </w:r>
          </w:p>
        </w:tc>
      </w:tr>
      <w:tr w:rsidR="00B200A8" w:rsidRPr="003C750C" w14:paraId="6F81A392" w14:textId="77777777" w:rsidTr="004727E8">
        <w:trPr>
          <w:cantSplit/>
          <w:trHeight w:val="417"/>
        </w:trPr>
        <w:tc>
          <w:tcPr>
            <w:tcW w:w="709" w:type="dxa"/>
          </w:tcPr>
          <w:p w14:paraId="6D5B8D81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lastRenderedPageBreak/>
              <w:t>19</w:t>
            </w: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072B7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Sieć elektroenergetyczna systemowa</w:t>
            </w:r>
          </w:p>
        </w:tc>
        <w:tc>
          <w:tcPr>
            <w:tcW w:w="31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DC333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Energia elektryczna z produkcji mieszanej</w:t>
            </w:r>
          </w:p>
        </w:tc>
        <w:tc>
          <w:tcPr>
            <w:tcW w:w="2675" w:type="dxa"/>
            <w:vAlign w:val="center"/>
          </w:tcPr>
          <w:p w14:paraId="73466AF1" w14:textId="77777777" w:rsidR="00B200A8" w:rsidRPr="00B200A8" w:rsidRDefault="00B200A8" w:rsidP="00B200A8">
            <w:pPr>
              <w:pStyle w:val="TEKSTwTABELIWYRODKOWANYtekstwyrodkowanywpoziomie"/>
            </w:pPr>
            <w:r w:rsidRPr="00105434">
              <w:t>2,5</w:t>
            </w:r>
          </w:p>
        </w:tc>
      </w:tr>
    </w:tbl>
    <w:p w14:paraId="5B6D1A57" w14:textId="77777777" w:rsidR="00B200A8" w:rsidRPr="00105434" w:rsidRDefault="00B200A8" w:rsidP="00B200A8"/>
    <w:p w14:paraId="5A23EFAD" w14:textId="77777777" w:rsidR="00450D17" w:rsidRPr="00737F6A" w:rsidRDefault="00450D17" w:rsidP="00637A10"/>
    <w:sectPr w:rsidR="00450D17" w:rsidRPr="00737F6A" w:rsidSect="00193D94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13C0" w14:textId="77777777" w:rsidR="00E81CA1" w:rsidRDefault="00E81CA1">
      <w:r>
        <w:separator/>
      </w:r>
    </w:p>
  </w:endnote>
  <w:endnote w:type="continuationSeparator" w:id="0">
    <w:p w14:paraId="51180CC2" w14:textId="77777777" w:rsidR="00E81CA1" w:rsidRDefault="00E8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AB4E" w14:textId="77777777" w:rsidR="00E81CA1" w:rsidRDefault="00E81CA1">
      <w:r>
        <w:separator/>
      </w:r>
    </w:p>
  </w:footnote>
  <w:footnote w:type="continuationSeparator" w:id="0">
    <w:p w14:paraId="205DEA82" w14:textId="77777777" w:rsidR="00E81CA1" w:rsidRDefault="00E81CA1">
      <w:r>
        <w:continuationSeparator/>
      </w:r>
    </w:p>
  </w:footnote>
  <w:footnote w:id="1">
    <w:p w14:paraId="0965633B" w14:textId="69321B09" w:rsidR="00194441" w:rsidRDefault="00194441" w:rsidP="0010543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 xml:space="preserve">Minister Klimatu i Środowiska kieruje działem administracji rządowej </w:t>
      </w:r>
      <w:r w:rsidR="002708A6">
        <w:t>¬</w:t>
      </w:r>
      <w:r>
        <w:t xml:space="preserve"> klimat, na podstawie § 1 ust. 2 pkt 2 rozporządzenia Prezesa Rady Ministrów z dnia 27 października 2021 r. w sprawie szczegółowego zakresu działania Ministra Klimatu i Środowiska (Dz. U. poz. 1949).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6164" w14:textId="77777777" w:rsidR="00194441" w:rsidRPr="00B371CC" w:rsidRDefault="00194441" w:rsidP="007369F2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12B0A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4D8C" w14:textId="77777777" w:rsidR="00194441" w:rsidRPr="00B371CC" w:rsidRDefault="0019444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  <w:r>
      <w:t xml:space="preserve"> –</w:t>
    </w:r>
  </w:p>
  <w:p w14:paraId="67634732" w14:textId="77777777" w:rsidR="00194441" w:rsidRDefault="001944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6616C7E"/>
    <w:multiLevelType w:val="hybridMultilevel"/>
    <w:tmpl w:val="FDC89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23015"/>
    <w:multiLevelType w:val="hybridMultilevel"/>
    <w:tmpl w:val="819E2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730D03"/>
    <w:multiLevelType w:val="hybridMultilevel"/>
    <w:tmpl w:val="38A21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7"/>
  </w:num>
  <w:num w:numId="6">
    <w:abstractNumId w:val="31"/>
  </w:num>
  <w:num w:numId="7">
    <w:abstractNumId w:val="37"/>
  </w:num>
  <w:num w:numId="8">
    <w:abstractNumId w:val="31"/>
  </w:num>
  <w:num w:numId="9">
    <w:abstractNumId w:val="37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5"/>
  </w:num>
  <w:num w:numId="29">
    <w:abstractNumId w:val="38"/>
  </w:num>
  <w:num w:numId="30">
    <w:abstractNumId w:val="34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6"/>
  </w:num>
  <w:num w:numId="44">
    <w:abstractNumId w:val="12"/>
  </w:num>
  <w:num w:numId="45">
    <w:abstractNumId w:val="39"/>
  </w:num>
  <w:num w:numId="46">
    <w:abstractNumId w:val="33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44"/>
    <w:rsid w:val="000012DA"/>
    <w:rsid w:val="0000246E"/>
    <w:rsid w:val="00003862"/>
    <w:rsid w:val="00012A35"/>
    <w:rsid w:val="00016099"/>
    <w:rsid w:val="00017DC2"/>
    <w:rsid w:val="00021522"/>
    <w:rsid w:val="0002336B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26EC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5434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7790"/>
    <w:rsid w:val="00180F2A"/>
    <w:rsid w:val="00184B91"/>
    <w:rsid w:val="00184D4A"/>
    <w:rsid w:val="00186EC1"/>
    <w:rsid w:val="00191E1F"/>
    <w:rsid w:val="00193D94"/>
    <w:rsid w:val="00194441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213E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0752"/>
    <w:rsid w:val="002708A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B87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7EC5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0B25"/>
    <w:rsid w:val="00352DAE"/>
    <w:rsid w:val="00354EB9"/>
    <w:rsid w:val="003602AE"/>
    <w:rsid w:val="00360929"/>
    <w:rsid w:val="003643E1"/>
    <w:rsid w:val="003647D5"/>
    <w:rsid w:val="003674B0"/>
    <w:rsid w:val="0037727C"/>
    <w:rsid w:val="00377E70"/>
    <w:rsid w:val="00380904"/>
    <w:rsid w:val="0038169B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0BF3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0D17"/>
    <w:rsid w:val="00452AE3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359F"/>
    <w:rsid w:val="00494F62"/>
    <w:rsid w:val="004968CA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6B10"/>
    <w:rsid w:val="004C05BD"/>
    <w:rsid w:val="004C3B06"/>
    <w:rsid w:val="004C3F97"/>
    <w:rsid w:val="004C7EE7"/>
    <w:rsid w:val="004D2DEE"/>
    <w:rsid w:val="004D2E1F"/>
    <w:rsid w:val="004D427B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2889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19A1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0BA4"/>
    <w:rsid w:val="00572512"/>
    <w:rsid w:val="00573EE6"/>
    <w:rsid w:val="0057547F"/>
    <w:rsid w:val="005754EE"/>
    <w:rsid w:val="0057617E"/>
    <w:rsid w:val="00576497"/>
    <w:rsid w:val="005835E7"/>
    <w:rsid w:val="0058397F"/>
    <w:rsid w:val="005839C9"/>
    <w:rsid w:val="00583BF8"/>
    <w:rsid w:val="00585F33"/>
    <w:rsid w:val="00587E75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371E5"/>
    <w:rsid w:val="00637A10"/>
    <w:rsid w:val="00641406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1872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468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2B66"/>
    <w:rsid w:val="007369F2"/>
    <w:rsid w:val="00736A64"/>
    <w:rsid w:val="00737865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65B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1319"/>
    <w:rsid w:val="00812BE5"/>
    <w:rsid w:val="008172D8"/>
    <w:rsid w:val="00817429"/>
    <w:rsid w:val="00821514"/>
    <w:rsid w:val="00821BD3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153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855"/>
    <w:rsid w:val="008C5BE0"/>
    <w:rsid w:val="008C7233"/>
    <w:rsid w:val="008D2434"/>
    <w:rsid w:val="008D779E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2B0A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140"/>
    <w:rsid w:val="00943751"/>
    <w:rsid w:val="00946DD0"/>
    <w:rsid w:val="009509E6"/>
    <w:rsid w:val="00952018"/>
    <w:rsid w:val="00952800"/>
    <w:rsid w:val="0095300D"/>
    <w:rsid w:val="009555C8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6D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1747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2E6D"/>
    <w:rsid w:val="00A24FCC"/>
    <w:rsid w:val="00A26A90"/>
    <w:rsid w:val="00A26B27"/>
    <w:rsid w:val="00A30E4F"/>
    <w:rsid w:val="00A32253"/>
    <w:rsid w:val="00A3310E"/>
    <w:rsid w:val="00A333A0"/>
    <w:rsid w:val="00A34C54"/>
    <w:rsid w:val="00A37E70"/>
    <w:rsid w:val="00A437E1"/>
    <w:rsid w:val="00A4685E"/>
    <w:rsid w:val="00A50648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109"/>
    <w:rsid w:val="00AB047E"/>
    <w:rsid w:val="00AB0B0A"/>
    <w:rsid w:val="00AB0BB7"/>
    <w:rsid w:val="00AB22C6"/>
    <w:rsid w:val="00AB2AD0"/>
    <w:rsid w:val="00AB5174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00A8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0AE6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65A1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680A"/>
    <w:rsid w:val="00CB18D0"/>
    <w:rsid w:val="00CB1C8A"/>
    <w:rsid w:val="00CB24F5"/>
    <w:rsid w:val="00CB2663"/>
    <w:rsid w:val="00CB3BBE"/>
    <w:rsid w:val="00CB59E9"/>
    <w:rsid w:val="00CC0D6A"/>
    <w:rsid w:val="00CC2F16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005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6CF2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6251"/>
    <w:rsid w:val="00DE7DC1"/>
    <w:rsid w:val="00DF3F7E"/>
    <w:rsid w:val="00DF7648"/>
    <w:rsid w:val="00E00E29"/>
    <w:rsid w:val="00E02BAB"/>
    <w:rsid w:val="00E04CEB"/>
    <w:rsid w:val="00E060BC"/>
    <w:rsid w:val="00E10B5D"/>
    <w:rsid w:val="00E11420"/>
    <w:rsid w:val="00E132FB"/>
    <w:rsid w:val="00E14A1C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1CA1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5644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6698"/>
    <w:rsid w:val="00F068FB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4E5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BBF"/>
    <w:rsid w:val="00F74C59"/>
    <w:rsid w:val="00F75C3A"/>
    <w:rsid w:val="00F82E30"/>
    <w:rsid w:val="00F831CB"/>
    <w:rsid w:val="00F848A3"/>
    <w:rsid w:val="00F84ACF"/>
    <w:rsid w:val="00F84DAF"/>
    <w:rsid w:val="00F85742"/>
    <w:rsid w:val="00F85BF8"/>
    <w:rsid w:val="00F871CE"/>
    <w:rsid w:val="00F87802"/>
    <w:rsid w:val="00F92C0A"/>
    <w:rsid w:val="00F9415B"/>
    <w:rsid w:val="00F96FFD"/>
    <w:rsid w:val="00FA13C2"/>
    <w:rsid w:val="00FA7F91"/>
    <w:rsid w:val="00FB033E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422AA"/>
  <w15:docId w15:val="{112CB233-493E-4726-8857-4B57DE18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(Footnote Reference),Appel note de bas de,BVI fnr,EN Footnote Reference,Exposant 3 Point,Footnote,Footnote Reference Superscript,Footnote reference number,Footnote symbol,SUPERS,Times 10 Point,Voetnootverwijzing,note TESI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aliases w:val="Pata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aliases w:val="Pat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Numerstrony">
    <w:name w:val="page number"/>
    <w:uiPriority w:val="99"/>
    <w:rsid w:val="00105434"/>
    <w:rPr>
      <w:rFonts w:cs="Times New Roman"/>
    </w:rPr>
  </w:style>
  <w:style w:type="paragraph" w:styleId="Akapitzlist">
    <w:name w:val="List Paragraph"/>
    <w:basedOn w:val="Normalny"/>
    <w:uiPriority w:val="99"/>
    <w:rsid w:val="001054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5434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105434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dunek\AppData\Local\Temp\Temp1_szablon_4.0-2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F8B719-BAC8-4B1C-8D07-66DCF3EE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72</TotalTime>
  <Pages>14</Pages>
  <Words>2638</Words>
  <Characters>15831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ZDUNEK Ewa</dc:creator>
  <cp:keywords/>
  <dc:description/>
  <cp:lastModifiedBy>Banaszak Wojciech</cp:lastModifiedBy>
  <cp:revision>7</cp:revision>
  <cp:lastPrinted>2012-04-23T06:39:00Z</cp:lastPrinted>
  <dcterms:created xsi:type="dcterms:W3CDTF">2021-12-02T12:03:00Z</dcterms:created>
  <dcterms:modified xsi:type="dcterms:W3CDTF">2022-01-04T10:37:00Z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